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487-6k_maase.htm"/>
      <w:bookmarkStart w:id="1" w:name="ksea03004876k_maas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Maase Inc. (the “Company”) is furnishing this Current Report on Form 6-K (this “Form 6-K”) to provide the unaudited condensed combined financial statements of Times Good Limited (“Times Good”), a wholly-owned subsidiary of the Company, for the six months ended December 31, 2025, and the related notes thereto. These financial statements supplement the financial information regarding the Company’s acquisition of Times Good that the Company provided in the Current Report on Form 6-K of the Company furnished with the U.S. Securities and Exchange Commission (the “SEC”) on June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333-277814) filed with the SEC on March 11,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918"/>
        <w:gridCol w:w="60"/>
        <w:gridCol w:w="9227"/>
      </w:tblGrid>
      <w:tr>
        <w:trPr/>
        <w:tc>
          <w:tcPr>
            <w:tcW w:w="91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27"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Description</w:t>
            </w:r>
          </w:p>
        </w:tc>
      </w:tr>
      <w:tr>
        <w:trPr/>
        <w:tc>
          <w:tcPr>
            <w:tcW w:w="918"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7" w:type="dxa"/>
            <w:tcBorders/>
            <w:shd w:fill="CCEEFF" w:val="clear"/>
            <w:tcMar>
              <w:bottom w:w="0" w:type="dxa"/>
            </w:tcMar>
            <w:vAlign w:val="center"/>
          </w:tcPr>
          <w:p>
            <w:pPr>
              <w:pStyle w:val="TableContents"/>
              <w:bidi w:val="0"/>
              <w:spacing w:before="0" w:after="283"/>
              <w:jc w:val="both"/>
              <w:rPr/>
            </w:pPr>
            <w:hyperlink w:anchor="ea030048701ex99-1.htm">
              <w:r>
                <w:rPr>
                  <w:rStyle w:val="InternetLink"/>
                  <w:sz w:val="20"/>
                </w:rPr>
                <w:t>Unaudited Condensed Combined Financial Statements of Times Good Limited for the Six Months Ended December 31, 2025 and Related Notes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1760"/>
        <w:gridCol w:w="320"/>
        <w:gridCol w:w="590"/>
        <w:gridCol w:w="2555"/>
      </w:tblGrid>
      <w:tr>
        <w:trPr/>
        <w:tc>
          <w:tcPr>
            <w:tcW w:w="1760" w:type="dxa"/>
            <w:tcBorders/>
            <w:vAlign w:val="center"/>
          </w:tcPr>
          <w:p>
            <w:pPr>
              <w:pStyle w:val="TableContents"/>
              <w:bidi w:val="0"/>
              <w:spacing w:before="0" w:after="283"/>
              <w:jc w:val="left"/>
              <w:rPr/>
            </w:pPr>
            <w:r>
              <w:rPr/>
              <w:t> </w:t>
            </w:r>
          </w:p>
        </w:tc>
        <w:tc>
          <w:tcPr>
            <w:tcW w:w="3465" w:type="dxa"/>
            <w:gridSpan w:val="3"/>
            <w:tcBorders/>
            <w:vAlign w:val="center"/>
          </w:tcPr>
          <w:p>
            <w:pPr>
              <w:pStyle w:val="TableContents"/>
              <w:bidi w:val="0"/>
              <w:spacing w:before="0" w:after="283"/>
              <w:jc w:val="both"/>
              <w:rPr>
                <w:b/>
                <w:sz w:val="20"/>
              </w:rPr>
            </w:pPr>
            <w:r>
              <w:rPr>
                <w:b/>
                <w:sz w:val="20"/>
              </w:rPr>
              <w:t>Maase Inc.</w:t>
            </w:r>
          </w:p>
        </w:tc>
      </w:tr>
      <w:tr>
        <w:trPr/>
        <w:tc>
          <w:tcPr>
            <w:tcW w:w="17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5, 2026</w:t>
            </w:r>
          </w:p>
        </w:tc>
        <w:tc>
          <w:tcPr>
            <w:tcW w:w="320" w:type="dxa"/>
            <w:tcBorders/>
            <w:vAlign w:val="center"/>
          </w:tcPr>
          <w:p>
            <w:pPr>
              <w:pStyle w:val="TableContents"/>
              <w:bidi w:val="0"/>
              <w:spacing w:before="0" w:after="283"/>
              <w:jc w:val="both"/>
              <w:rPr>
                <w:sz w:val="20"/>
              </w:rPr>
            </w:pPr>
            <w:r>
              <w:rPr>
                <w:sz w:val="20"/>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Zhou Min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2555" w:type="dxa"/>
            <w:tcBorders/>
            <w:vAlign w:val="center"/>
          </w:tcPr>
          <w:p>
            <w:pPr>
              <w:pStyle w:val="TableContents"/>
              <w:bidi w:val="0"/>
              <w:spacing w:before="0" w:after="283"/>
              <w:jc w:val="both"/>
              <w:rPr>
                <w:sz w:val="20"/>
              </w:rPr>
            </w:pPr>
            <w:r>
              <w:rPr>
                <w:sz w:val="20"/>
              </w:rPr>
              <w:t>Zhou Min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Title:</w:t>
            </w:r>
          </w:p>
        </w:tc>
        <w:tc>
          <w:tcPr>
            <w:tcW w:w="2555" w:type="dxa"/>
            <w:tcBorders/>
            <w:vAlign w:val="center"/>
          </w:tcPr>
          <w:p>
            <w:pPr>
              <w:pStyle w:val="TableContents"/>
              <w:bidi w:val="0"/>
              <w:spacing w:before="0" w:after="283"/>
              <w:jc w:val="left"/>
              <w:rPr>
                <w:sz w:val="20"/>
              </w:rPr>
            </w:pPr>
            <w:r>
              <w:rPr>
                <w:sz w:val="20"/>
              </w:rPr>
              <w:t>Vice-Chairperson of the Board,</w:t>
              <w:b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2" w:name="ea030048701ex99-1.htm"/>
      <w:bookmarkStart w:id="3" w:name="ksea0300487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TIMES GOOD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COMBINED BALANCE SHEETS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890"/>
        <w:gridCol w:w="60"/>
        <w:gridCol w:w="62"/>
        <w:gridCol w:w="918"/>
        <w:gridCol w:w="99"/>
        <w:gridCol w:w="62"/>
        <w:gridCol w:w="62"/>
        <w:gridCol w:w="792"/>
        <w:gridCol w:w="110"/>
      </w:tblGrid>
      <w:tr>
        <w:trPr/>
        <w:tc>
          <w:tcPr>
            <w:tcW w:w="689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RMB</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vAlign w:val="center"/>
          </w:tcPr>
          <w:p>
            <w:pPr>
              <w:pStyle w:val="TableContents"/>
              <w:bidi w:val="0"/>
              <w:spacing w:before="0" w:after="283"/>
              <w:jc w:val="left"/>
              <w:rPr>
                <w:b/>
                <w:i/>
              </w:rPr>
            </w:pPr>
            <w:r>
              <w:rPr>
                <w:b/>
                <w:i/>
              </w:rPr>
              <w:t>Current assets:</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22,877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3,271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8,420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1,204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9,953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1,423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Advances to suppliers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10,163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1,453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10,463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1,496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Contract fulfillment costs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10,635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1,521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Derivative financial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Other receivables,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33,285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4,760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14,594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2,087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1,316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121,706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17,404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b/>
                <w:i/>
              </w:rPr>
            </w:pPr>
            <w:r>
              <w:rPr>
                <w:b/>
                <w:i/>
              </w:rPr>
              <w:t>Non-current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1,085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Right of use assets, net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1,099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FFFFFF" w:val="clear"/>
            <w:tcMar>
              <w:bottom w:w="28" w:type="dxa"/>
            </w:tcM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123,890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b/>
              </w:rPr>
            </w:pPr>
            <w:r>
              <w:rPr>
                <w:b/>
              </w:rPr>
              <w:t>LIABILITIES AND SHAREHOLDERS’ DEFICIT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b/>
                <w:i/>
              </w:rPr>
            </w:pPr>
            <w:r>
              <w:rPr>
                <w:b/>
                <w:i/>
              </w:rPr>
              <w:t>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184,607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26,399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9,596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1,372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47,402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6,778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13,820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1,976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987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667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Lease liabilities - current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487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Current portion of long-term borrowing</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257,664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36,845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b/>
                <w:i/>
              </w:rPr>
            </w:pPr>
            <w:r>
              <w:rPr>
                <w:b/>
                <w:i/>
              </w:rPr>
              <w:t>Non-current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Long-term borrowing</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4,950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708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Lease liabilities - non-current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549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5,499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263,163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37,632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Commitments and contingencies (Note 17)</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SHAREHOLDERS’ DEFICIT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9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11,374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1,627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90" w:type="dxa"/>
            <w:tcBorders/>
            <w:shd w:fill="CCEEFF" w:val="clear"/>
            <w:vAlign w:val="center"/>
          </w:tcPr>
          <w:p>
            <w:pPr>
              <w:pStyle w:val="TableContents"/>
              <w:bidi w:val="0"/>
              <w:spacing w:before="0" w:after="283"/>
              <w:jc w:val="left"/>
              <w:rPr/>
            </w:pPr>
            <w:r>
              <w:rPr/>
              <w:t>Accumulated deficits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(144,747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(20,699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90" w:type="dxa"/>
            <w:tcBorders/>
            <w:shd w:fill="FFFFFF" w:val="clear"/>
            <w:vAlign w:val="center"/>
          </w:tcPr>
          <w:p>
            <w:pPr>
              <w:pStyle w:val="TableContents"/>
              <w:bidi w:val="0"/>
              <w:spacing w:before="0" w:after="283"/>
              <w:jc w:val="left"/>
              <w:rPr>
                <w:b/>
              </w:rPr>
            </w:pPr>
            <w:r>
              <w:rPr>
                <w:b/>
              </w:rPr>
              <w:t>TOTAL TIMES GOOD LIMITED SHAREHOLDERS’ DEFICIT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(133,373</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(19,072</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6890"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(5,900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(844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90"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(139,273</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(19,916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6890" w:type="dxa"/>
            <w:tcBorders/>
            <w:shd w:fill="CCEEFF" w:val="clear"/>
            <w:vAlign w:val="center"/>
          </w:tcPr>
          <w:p>
            <w:pPr>
              <w:pStyle w:val="TableContents"/>
              <w:bidi w:val="0"/>
              <w:spacing w:before="0" w:after="283"/>
              <w:jc w:val="left"/>
              <w:rPr>
                <w:b/>
              </w:rPr>
            </w:pPr>
            <w:r>
              <w:rPr>
                <w:b/>
              </w:rPr>
              <w:t>TOTAL LIABILITIES AND SHAREHOLDERS’ DEFICIT</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123,890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17,716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TIMES GOOD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COMBINED STATEMENTS OF OPERATIONS AND COMPREHENSIVE LOSS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932" w:type="dxa"/>
        <w:jc w:val="left"/>
        <w:tblInd w:w="0" w:type="dxa"/>
        <w:tblLayout w:type="fixed"/>
        <w:tblCellMar>
          <w:top w:w="0" w:type="dxa"/>
          <w:left w:w="0" w:type="dxa"/>
          <w:bottom w:w="0" w:type="dxa"/>
          <w:right w:w="0" w:type="dxa"/>
        </w:tblCellMar>
      </w:tblPr>
      <w:tblGrid>
        <w:gridCol w:w="5045"/>
        <w:gridCol w:w="60"/>
        <w:gridCol w:w="95"/>
        <w:gridCol w:w="1200"/>
        <w:gridCol w:w="151"/>
        <w:gridCol w:w="95"/>
        <w:gridCol w:w="95"/>
        <w:gridCol w:w="1081"/>
        <w:gridCol w:w="11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December 31,</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RMB</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86,039</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12,303</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pPr>
            <w:r>
              <w:rPr/>
              <w:t>(67,632</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(9,672</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18,407</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2,631</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(7,593</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(1,086</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(7,293</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(1,043</w:t>
            </w:r>
          </w:p>
        </w:tc>
        <w:tc>
          <w:tcPr>
            <w:tcW w:w="11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Research and development expense</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(3,692</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(528</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Net recovery of credit losses</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415</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(18,163</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(2,598</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244</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Other income (expenses)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109</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(15,484</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(2,214</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Investment income from short-term investments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758</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109</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Investment income from derivative financial assets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145</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Other expenses, net</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(547</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(78</w:t>
            </w:r>
          </w:p>
        </w:tc>
        <w:tc>
          <w:tcPr>
            <w:tcW w:w="11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pPr>
            <w:r>
              <w:rPr/>
              <w:t>(15,019</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(2,146</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Loss before income tax provision</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(14,775</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(2,113</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(14,775</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(2,113</w:t>
            </w:r>
          </w:p>
        </w:tc>
        <w:tc>
          <w:tcPr>
            <w:tcW w:w="110" w:type="dxa"/>
            <w:tcBorders/>
            <w:shd w:fill="FFFFFF" w:val="clear"/>
            <w:vAlign w:val="center"/>
          </w:tcPr>
          <w:p>
            <w:pPr>
              <w:pStyle w:val="TableContents"/>
              <w:bidi w:val="0"/>
              <w:spacing w:before="0" w:after="283"/>
              <w:jc w:val="left"/>
              <w:rPr/>
            </w:pPr>
            <w:r>
              <w:rPr/>
              <w:t>)</w:t>
            </w:r>
          </w:p>
        </w:tc>
      </w:tr>
      <w:tr>
        <w:trPr/>
        <w:tc>
          <w:tcPr>
            <w:tcW w:w="5045"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(84</w:t>
            </w:r>
          </w:p>
        </w:tc>
        <w:tc>
          <w:tcPr>
            <w:tcW w:w="110" w:type="dxa"/>
            <w:tcBorders/>
            <w:shd w:fill="CCEEFF" w:val="clear"/>
            <w:vAlign w:val="center"/>
          </w:tcPr>
          <w:p>
            <w:pPr>
              <w:pStyle w:val="TableContents"/>
              <w:bidi w:val="0"/>
              <w:spacing w:before="0" w:after="283"/>
              <w:jc w:val="left"/>
              <w:rPr/>
            </w:pPr>
            <w:r>
              <w:rPr/>
              <w:t>)</w:t>
            </w:r>
          </w:p>
        </w:tc>
      </w:tr>
      <w:tr>
        <w:trPr/>
        <w:tc>
          <w:tcPr>
            <w:tcW w:w="5045" w:type="dxa"/>
            <w:tcBorders/>
            <w:shd w:fill="FFFFFF" w:val="clear"/>
            <w:vAlign w:val="center"/>
          </w:tcPr>
          <w:p>
            <w:pPr>
              <w:pStyle w:val="TableContents"/>
              <w:bidi w:val="0"/>
              <w:spacing w:before="0" w:after="283"/>
              <w:jc w:val="left"/>
              <w:rPr/>
            </w:pPr>
            <w:r>
              <w:rPr/>
              <w:t>Net loss attributable to TIMES GOOD LIMITED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double" w:sz="10" w:space="0" w:color="000000"/>
            </w:tcBorders>
            <w:shd w:fill="FFFFFF" w:val="clear"/>
            <w:tcMar>
              <w:bottom w:w="28" w:type="dxa"/>
            </w:tcMar>
            <w:vAlign w:val="center"/>
          </w:tcPr>
          <w:p>
            <w:pPr>
              <w:pStyle w:val="TableContents"/>
              <w:bidi w:val="0"/>
              <w:spacing w:before="0" w:after="283"/>
              <w:jc w:val="right"/>
              <w:rPr/>
            </w:pPr>
            <w:r>
              <w:rPr/>
              <w:t>(14,186</w:t>
            </w:r>
          </w:p>
        </w:tc>
        <w:tc>
          <w:tcPr>
            <w:tcW w:w="151"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double" w:sz="10" w:space="0" w:color="000000"/>
            </w:tcBorders>
            <w:shd w:fill="FFFFFF" w:val="clear"/>
            <w:tcMar>
              <w:bottom w:w="28" w:type="dxa"/>
            </w:tcMar>
            <w:vAlign w:val="center"/>
          </w:tcPr>
          <w:p>
            <w:pPr>
              <w:pStyle w:val="TableContents"/>
              <w:bidi w:val="0"/>
              <w:spacing w:before="0" w:after="283"/>
              <w:jc w:val="right"/>
              <w:rPr/>
            </w:pPr>
            <w:r>
              <w:rPr/>
              <w:t>(2,029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combined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TIMES GOOD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COMBINED STATEMENTS OF CHANGES IN SHAREHOLDERS’ DEFICIT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6"/>
        <w:gridCol w:w="60"/>
        <w:gridCol w:w="60"/>
        <w:gridCol w:w="680"/>
        <w:gridCol w:w="60"/>
        <w:gridCol w:w="60"/>
        <w:gridCol w:w="87"/>
        <w:gridCol w:w="1283"/>
        <w:gridCol w:w="95"/>
        <w:gridCol w:w="60"/>
        <w:gridCol w:w="89"/>
        <w:gridCol w:w="1328"/>
        <w:gridCol w:w="95"/>
        <w:gridCol w:w="60"/>
        <w:gridCol w:w="140"/>
        <w:gridCol w:w="1485"/>
        <w:gridCol w:w="95"/>
        <w:gridCol w:w="60"/>
        <w:gridCol w:w="89"/>
        <w:gridCol w:w="1311"/>
        <w:gridCol w:w="112"/>
      </w:tblGrid>
      <w:tr>
        <w:trPr/>
        <w:tc>
          <w:tcPr>
            <w:tcW w:w="2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Times</w:t>
              <w:br/>
              <w:t>Good Limited</w:t>
              <w:br/>
              <w:t>shareholders’</w:t>
              <w:br/>
              <w:t>deficits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Non-controlling</w:t>
              <w:b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shareholders’</w:t>
              <w:br/>
              <w:t>deficit</w:t>
            </w:r>
          </w:p>
        </w:tc>
        <w:tc>
          <w:tcPr>
            <w:tcW w:w="112"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2896" w:type="dxa"/>
            <w:tcBorders/>
            <w:shd w:fill="CCEEFF" w:val="clear"/>
            <w:vAlign w:val="center"/>
          </w:tcPr>
          <w:p>
            <w:pPr>
              <w:pStyle w:val="TableContents"/>
              <w:bidi w:val="0"/>
              <w:spacing w:before="0" w:after="283"/>
              <w:jc w:val="left"/>
              <w:rPr/>
            </w:pPr>
            <w:r>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(130,561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(119,187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right"/>
              <w:rPr/>
            </w:pPr>
            <w:r>
              <w:rPr/>
              <w:t>(5,311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(124,498</w:t>
            </w:r>
          </w:p>
        </w:tc>
        <w:tc>
          <w:tcPr>
            <w:tcW w:w="112" w:type="dxa"/>
            <w:tcBorders/>
            <w:shd w:fill="CCEEFF" w:val="clear"/>
            <w:vAlign w:val="center"/>
          </w:tcPr>
          <w:p>
            <w:pPr>
              <w:pStyle w:val="TableContents"/>
              <w:bidi w:val="0"/>
              <w:spacing w:before="0" w:after="283"/>
              <w:jc w:val="left"/>
              <w:rPr/>
            </w:pPr>
            <w:r>
              <w:rPr/>
              <w:t>)</w:t>
            </w:r>
          </w:p>
        </w:tc>
      </w:tr>
      <w:tr>
        <w:trPr/>
        <w:tc>
          <w:tcPr>
            <w:tcW w:w="289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(14,186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pPr>
            <w:r>
              <w:rPr/>
              <w:t>(14,186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(14,775</w:t>
            </w:r>
          </w:p>
        </w:tc>
        <w:tc>
          <w:tcPr>
            <w:tcW w:w="112" w:type="dxa"/>
            <w:tcBorders/>
            <w:shd w:fill="FFFFFF" w:val="clear"/>
            <w:vAlign w:val="center"/>
          </w:tcPr>
          <w:p>
            <w:pPr>
              <w:pStyle w:val="TableContents"/>
              <w:bidi w:val="0"/>
              <w:spacing w:before="0" w:after="283"/>
              <w:jc w:val="left"/>
              <w:rPr/>
            </w:pPr>
            <w:r>
              <w:rPr/>
              <w:t>)</w:t>
            </w:r>
          </w:p>
        </w:tc>
      </w:tr>
      <w:tr>
        <w:trPr/>
        <w:tc>
          <w:tcPr>
            <w:tcW w:w="2896"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(144,747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pPr>
            <w:r>
              <w:rPr/>
              <w:t>(133,373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5" w:type="dxa"/>
            <w:tcBorders>
              <w:bottom w:val="single" w:sz="12" w:space="0" w:color="000000"/>
            </w:tcBorders>
            <w:shd w:fill="CCEEFF" w:val="clear"/>
            <w:tcMar>
              <w:bottom w:w="28" w:type="dxa"/>
            </w:tcMar>
            <w:vAlign w:val="center"/>
          </w:tcPr>
          <w:p>
            <w:pPr>
              <w:pStyle w:val="TableContents"/>
              <w:bidi w:val="0"/>
              <w:spacing w:before="0" w:after="283"/>
              <w:jc w:val="right"/>
              <w:rPr/>
            </w:pPr>
            <w:r>
              <w:rPr/>
              <w:t>(5,900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(139,273</w:t>
            </w:r>
          </w:p>
        </w:tc>
        <w:tc>
          <w:tcPr>
            <w:tcW w:w="112" w:type="dxa"/>
            <w:tcBorders/>
            <w:shd w:fill="CCEEFF" w:val="clear"/>
            <w:vAlign w:val="center"/>
          </w:tcPr>
          <w:p>
            <w:pPr>
              <w:pStyle w:val="TableContents"/>
              <w:bidi w:val="0"/>
              <w:spacing w:before="0" w:after="283"/>
              <w:jc w:val="left"/>
              <w:rPr/>
            </w:pPr>
            <w:r>
              <w:rPr/>
              <w:t>)</w:t>
            </w:r>
          </w:p>
        </w:tc>
      </w:tr>
      <w:tr>
        <w:trPr/>
        <w:tc>
          <w:tcPr>
            <w:tcW w:w="2896" w:type="dxa"/>
            <w:tcBorders/>
            <w:shd w:fill="FFFFFF" w:val="clear"/>
            <w:vAlign w:val="center"/>
          </w:tcPr>
          <w:p>
            <w:pPr>
              <w:pStyle w:val="TableContents"/>
              <w:bidi w:val="0"/>
              <w:spacing w:before="0" w:after="283"/>
              <w:jc w:val="left"/>
              <w:rPr/>
            </w:pPr>
            <w:r>
              <w:rPr/>
              <w:t>Balance as of December 31, 2025 (USD)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pPr>
            <w:r>
              <w:rPr/>
              <w:t>(20,699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8" w:type="dxa"/>
            <w:tcBorders>
              <w:bottom w:val="double" w:sz="10" w:space="0" w:color="000000"/>
            </w:tcBorders>
            <w:shd w:fill="FFFFFF" w:val="clear"/>
            <w:tcMar>
              <w:bottom w:w="28" w:type="dxa"/>
            </w:tcMar>
            <w:vAlign w:val="center"/>
          </w:tcPr>
          <w:p>
            <w:pPr>
              <w:pStyle w:val="TableContents"/>
              <w:bidi w:val="0"/>
              <w:spacing w:before="0" w:after="283"/>
              <w:jc w:val="right"/>
              <w:rPr/>
            </w:pPr>
            <w:r>
              <w:rPr/>
              <w:t>(19,072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85" w:type="dxa"/>
            <w:tcBorders>
              <w:bottom w:val="double" w:sz="10" w:space="0" w:color="000000"/>
            </w:tcBorders>
            <w:shd w:fill="FFFFFF" w:val="clear"/>
            <w:tcMar>
              <w:bottom w:w="28" w:type="dxa"/>
            </w:tcMar>
            <w:vAlign w:val="center"/>
          </w:tcPr>
          <w:p>
            <w:pPr>
              <w:pStyle w:val="TableContents"/>
              <w:bidi w:val="0"/>
              <w:spacing w:before="0" w:after="283"/>
              <w:jc w:val="right"/>
              <w:rPr/>
            </w:pPr>
            <w:r>
              <w:rPr/>
              <w:t>(844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double" w:sz="10" w:space="0" w:color="000000"/>
            </w:tcBorders>
            <w:shd w:fill="FFFFFF" w:val="clear"/>
            <w:tcMar>
              <w:bottom w:w="28" w:type="dxa"/>
            </w:tcMar>
            <w:vAlign w:val="center"/>
          </w:tcPr>
          <w:p>
            <w:pPr>
              <w:pStyle w:val="TableContents"/>
              <w:bidi w:val="0"/>
              <w:spacing w:before="0" w:after="283"/>
              <w:jc w:val="right"/>
              <w:rPr/>
            </w:pPr>
            <w:r>
              <w:rPr/>
              <w:t>(19,916</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TIMES GOOD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COMBINED STATEMENTS OF CASH FLOWS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182" w:type="dxa"/>
        <w:jc w:val="left"/>
        <w:tblInd w:w="0" w:type="dxa"/>
        <w:tblLayout w:type="fixed"/>
        <w:tblCellMar>
          <w:top w:w="0" w:type="dxa"/>
          <w:left w:w="0" w:type="dxa"/>
          <w:bottom w:w="0" w:type="dxa"/>
          <w:right w:w="0" w:type="dxa"/>
        </w:tblCellMar>
      </w:tblPr>
      <w:tblGrid>
        <w:gridCol w:w="7295"/>
        <w:gridCol w:w="60"/>
        <w:gridCol w:w="85"/>
        <w:gridCol w:w="1249"/>
        <w:gridCol w:w="135"/>
        <w:gridCol w:w="85"/>
        <w:gridCol w:w="85"/>
        <w:gridCol w:w="1078"/>
        <w:gridCol w:w="110"/>
      </w:tblGrid>
      <w:tr>
        <w:trPr/>
        <w:tc>
          <w:tcPr>
            <w:tcW w:w="7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December 31,</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center"/>
              <w:rPr>
                <w:b/>
              </w:rPr>
            </w:pPr>
            <w:r>
              <w:rPr>
                <w:b/>
              </w:rPr>
              <w:t>RMB</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(14,775</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(2,113</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b/>
              </w:rPr>
            </w:pPr>
            <w:r>
              <w:rPr>
                <w:b/>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185</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recovery of credit losses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(415</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(59</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Investment income from derivative financial assets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(145</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378</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Accrued interest expense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2,015</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3,967</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567</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Advance to suppliers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1,482</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212</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(4,519</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(646</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Contract fulfillment costs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(10,635</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(1,521</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(62,853</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(8,988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(1,006</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(144</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(4,755</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(680</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(750</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(107</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(278</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9,671</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1,383</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10,161</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1,453</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(362</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b/>
              </w:rPr>
            </w:pPr>
            <w:r>
              <w:rPr>
                <w:b/>
              </w:rPr>
              <w:t>(72,634</w:t>
            </w:r>
          </w:p>
        </w:tc>
        <w:tc>
          <w:tcPr>
            <w:tcW w:w="135" w:type="dxa"/>
            <w:tcBorders/>
            <w:shd w:fill="CCEEFF" w:val="clear"/>
            <w:vAlign w:val="center"/>
          </w:tcPr>
          <w:p>
            <w:pPr>
              <w:pStyle w:val="TableContents"/>
              <w:bidi w:val="0"/>
              <w:spacing w:before="0" w:after="283"/>
              <w:jc w:val="left"/>
              <w:rPr>
                <w:b/>
              </w:rPr>
            </w:pPr>
            <w:r>
              <w:rPr>
                <w:b/>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rPr>
            </w:pPr>
            <w:r>
              <w:rPr>
                <w:b/>
              </w:rPr>
              <w:t>(10,388</w:t>
            </w:r>
          </w:p>
        </w:tc>
        <w:tc>
          <w:tcPr>
            <w:tcW w:w="110" w:type="dxa"/>
            <w:tcBorders/>
            <w:shd w:fill="CCEEFF" w:val="clear"/>
            <w:vAlign w:val="center"/>
          </w:tcPr>
          <w:p>
            <w:pPr>
              <w:pStyle w:val="TableContents"/>
              <w:bidi w:val="0"/>
              <w:spacing w:before="0" w:after="283"/>
              <w:jc w:val="left"/>
              <w:rPr>
                <w:b/>
              </w:rPr>
            </w:pPr>
            <w:r>
              <w:rPr>
                <w:b/>
              </w:rPr>
              <w:t>)</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(8</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Redemption of short-term investments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6,000</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858</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Redemption of derivative financial assets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402</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b/>
              </w:rPr>
            </w:pPr>
            <w:r>
              <w:rPr>
                <w:b/>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b/>
              </w:rPr>
            </w:pPr>
            <w:r>
              <w:rPr>
                <w:b/>
              </w:rPr>
              <w:t>6,394</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rPr>
            </w:pPr>
            <w:r>
              <w:rPr>
                <w:b/>
              </w:rPr>
              <w:t>914</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Proceeds from short-term borrowings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246,958</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35,315</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Repayments of short-term borrowings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(169,776</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(24,277</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Proceeds from related parties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8,740</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Payments made to related parties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(12,418</w:t>
            </w:r>
          </w:p>
        </w:tc>
        <w:tc>
          <w:tcPr>
            <w:tcW w:w="135"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(1,776</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73,504</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10,512</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increase in cash and restricted cash</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7,264</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1,038</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24,033</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b/>
              </w:rPr>
            </w:pPr>
            <w:r>
              <w:rPr>
                <w:b/>
              </w:rPr>
              <w:t>Cash and restricted cash at the end of period</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31,297</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4,475</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b/>
              </w:rPr>
            </w:pPr>
            <w:r>
              <w:rPr>
                <w:b/>
              </w:rPr>
              <w:t>Reconciliation of cash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24,024</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3,435</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b/>
              </w:rPr>
            </w:pPr>
            <w:r>
              <w:rPr>
                <w:b/>
              </w:rPr>
              <w:t>Cash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24,033</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3,436</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b/>
              </w:rPr>
            </w:pPr>
            <w:r>
              <w:rPr>
                <w:b/>
              </w:rPr>
              <w:t>Reconciliation of cash and restricted cash, end of period</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22,877</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3,271</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8,420</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pPr>
            <w:r>
              <w:rPr/>
              <w:t>1,204</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b/>
              </w:rPr>
            </w:pPr>
            <w:r>
              <w:rPr>
                <w:b/>
              </w:rPr>
              <w:t>Cash and restricted cash, end of period</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31,297</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4,475</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b/>
              </w:rPr>
            </w:pPr>
            <w:r>
              <w:rPr>
                <w:b/>
              </w:rPr>
              <w:t>Supplemental non-cash operating activities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Offsetting of other receivables and short-term borrowings</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5,368</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CCEEFF" w:val="clear"/>
            <w:tcMar>
              <w:bottom w:w="28" w:type="dxa"/>
            </w:tcMar>
            <w:vAlign w:val="center"/>
          </w:tcPr>
          <w:p>
            <w:pPr>
              <w:pStyle w:val="TableContents"/>
              <w:bidi w:val="0"/>
              <w:spacing w:before="0" w:after="283"/>
              <w:jc w:val="right"/>
              <w:rPr/>
            </w:pPr>
            <w:r>
              <w:rPr/>
              <w:t>768</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Offsetting of amounts due from related parties and short-term borrowings</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208,043</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FFFFFF" w:val="clear"/>
            <w:tcMar>
              <w:bottom w:w="28" w:type="dxa"/>
            </w:tcMar>
            <w:vAlign w:val="center"/>
          </w:tcPr>
          <w:p>
            <w:pPr>
              <w:pStyle w:val="TableContents"/>
              <w:bidi w:val="0"/>
              <w:spacing w:before="0" w:after="283"/>
              <w:jc w:val="right"/>
              <w:rPr/>
            </w:pPr>
            <w:r>
              <w:rPr/>
              <w:t>29,750</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Offsetting of other receivables and other payables and accrued expenses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15,649</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CCEEFF" w:val="clear"/>
            <w:tcMar>
              <w:bottom w:w="28" w:type="dxa"/>
            </w:tcMar>
            <w:vAlign w:val="center"/>
          </w:tcPr>
          <w:p>
            <w:pPr>
              <w:pStyle w:val="TableContents"/>
              <w:bidi w:val="0"/>
              <w:spacing w:before="0" w:after="283"/>
              <w:jc w:val="right"/>
              <w:rPr/>
            </w:pPr>
            <w:r>
              <w:rPr/>
              <w:t>2,238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TIMES GOOD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COMBINED FINANCIAL STATEMENTS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 Good Limited (“Times Good” or the “Company”) is a limited liability company incorporated in Hong Kong on August 22, 2025. Times Good has no substantive operations other than holding all of the outstanding share capital of Shenzhen Huazhixing Management Consulting Co., Ltd. (“Huazhixing”, formerly known as Shenzhen Bihexing Management Consulting Co., Ltd.), which was incorporated in the People’s Republic of China (“PRC” or “China”) on October 16, 2025. Pursuant to the variable interest entity (“VIE”) agreements executed on February 10, 2026, Huazhixing conducts its operations in the PRC through Huazhi Future (Chongqing) Technology Co., Ltd. (“Huazhi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Huazhi Future was incorporated on August 21, 2017 under the laws of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Huazhi Future has four wholly-owned subsidiaries pursuant to the laws of PRC, including (i) Huarong Future (Sichuan) Technology Co., Ltd. (“Huarong Future”), established on June 29, 2023; (ii) Huayuan Future (Shanxi) Technology Co., Ltd. (“Huayuan Future”), established on March 15, 2024; (iii) Chongqing Xinzhichu Education Consulting Co., Ltd. (“Chongqing Xinzhichu”), established on August 26, 2024; and (iv) Chongqing Fangzhen Technology Co., Ltd. (“Chongqing Fangzhen”), established on February 20, 2020. On July 25, 2024, Huazhi Future entered into an equity transfer agreement with Mr. Qiang Wang (the “Seller”), who is the sole shareholder of Chongqing Fangzhen. Pursuant to the agreement, the Seller transferred 100% of the equity interests in Chongqing Fangzhen to Huazhi Future (“Fangzhen Acquisition”). As consideration for the Fangzhen Acquisition, Huazhi Future paid total cash consideration of RMB23 to the Seller. The Company obtained the controlling rights of production and operation of Chongqing Fangzhen on August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2025, Huazhi Future entered into another equity transfer agreement with Zhejiang Neptune Data Service Co., Ltd. (“Zhejiang Neptune”), a company incorporated under the laws of PRC, and the seller of Hangzhou Infinite Firepower Digital Technology Co., Ltd. (“Hangzhou Infinite Firepower”), formerly known as Hangzhou Infinite Firepower Brand Management Co., Ltd. Pursuant to this agreement, Huazhi Future agreed to acquire 67.5% of the equity interests in Hangzhou Infinite Firepower (the “Infinite Firepower Acquisition”). As consideration for the Infinite Firepower Acquisition, Huazhi Future paid aggregate cash consideration of RMB3,000 to Zhejiang Neptune. The Company obtained the controlling rights of production and operation of Hangzhou Infinite Firepower on March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Huazhixing entered into a series of contractual arrangements (the “VIE Agreements”) with Huazhi Future and its equity holders, through which Huazhixing obtained control and became the primary beneficiary of Huazhi Future for accounting purpose only under the accounting principles generally accepted in the United States of America (“U.S. GAAP”), hereinafter referred to as the Reorganization. As a result, Huazhi Future became the Company’s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(including Huazhi Future and its subsidiaries) are effectively controlled by the same group of controlling shareholders: YCY Management Company Limited, Victory Kong Limited, and QYH Management Company Limited (the three original equity shareholders of Times Good). Therefore, they are considered under common control. During the period presented in these unaudited combined financial statements, the control of the entities did not change. Accordingly, the reorganization has been treated as a reorganization of entities under common control and thus the current capital structure has been retroactively presented in prior periods as if such structure existed at that time. In accordance with ASC 805-50-45-5, the entities under common control are presented on a combined basis for all periods to which such entities were under common control. Since all of the subsidiaries were under common control for the entirety of the six months ended December 31, 2025, the results of these subsidiaries are included in the unaudited combined financial statements for the period. The combined of the Company and its subsidiaries has been accounted for at historical cost and prepared on the basis as if the aforementioned transactions had become effective as of the beginning of the first period presented in the accompanying unaudited combined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 Agreements with Huazhi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Reorganization, the Company, through Huazhixing, entered into the following contractual arrangements with the VIE and the VIE’s shareholders that enabled the Company to (1) have power to direct the activities that most significantly affect the economic performance of the VIE, and (2) receive the economic benefits of the VIE that could be significant to the VIE. Accordingly, Huazhixing was considered the primary beneficiary of the VIE and had combined the VIE and the VIE’s subsidiaries’ financial results of operations, assets and liabilities in the Company’s unaudited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Contracts that give the Company effective control of the VIE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Equity Interest Pledge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Equity Interest Pledge Agreement between Huazhixing, Huazhi Future and the Huazhi Future Shareholders, the Huazhi Future Shareholders pledged all of their equity interests in Huazhi Future to Huazhixing to guarantee the performance of Huazhi Future’s obligations under the Exclusive Business Cooperation and Service Agreement. Under the terms of the Equity Pledge Agreement, in the event that Huazhi Future or the Huazhi Future Shareholders breach their respective contractual obligations under the Exclusive Business Cooperation and Service Agreement, Huazhixing, as pledgee, will be entitled to certain rights, including, but not limited to, the right to collect dividends generated by the pledged equity interests. The Huazhi Future Shareholders also agreed that upon occurrence of any event of default, as set forth in the Equity Pledge Agreement, Huazhixing is entitled to dispose of the pledged equity interest in accordance with applicable PRC laws. The Huazhi Future Shareholder further agreed not to dispose of the pledged equity interests or take any actions that would prejudice Huazhixing’s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Interest Pledge Agreement is effective until all payments due under the Exclusive Business Cooperation and Service Agreement have been paid by Huazhi Future. Huazhixing shall cancel or terminate the Equity Interest Pledge Agreement upon Huazhi Future’s full payment of fees payable under the Exclusive Business Cooperation and Service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the Equity Interest Pledge Agreement are to (1) guarantee the performance of Huazhi Future’s obligations under the Exclusive Business Cooperation and Service Agreement, (2) ensure that the Huazhi Future Shareholders do not transfer or assign the pledged equity interests, or create or allow any encumbrance that would prejudice Huazhixing’s interests without Huazhixing’s prior written consent, and (3) provide Huazhixing control over Huazhi Future. In the event Huazhi Future breaches its contractual obligations under the Exclusive Business Cooperation and Service Agreement, Huazhixing will be entitled to foreclose on the Huazhi Future Shareholder’s equity interests in Huazhi Future and may (1) exercise its option to purchase or designate third parties to purchase part or all of its equity interests in Huazhi Future and Huazhixing may terminate the VIE Agreements after acquisition of all equity interests in Huazhi Future or form a new VIE structure with the third parties designated by Huazhixing; or (2) dispose of the pledged equity interests and be paid in priority out of proceeds from the disposal in which case the VIE structure will be terminated.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Share Disposal and Exclusive Option to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Share Disposal and Exclusive Option to Purchase Agreement, the Huazhi Future Shareholders irrevocably granted Huazhixing (or its designee) an exclusive option to purchase, to the extent permitted under PRC law, once or at multiple times, at any time, part or all of their equity interests in Huazhi Future. The option price is equal to the capital paid in by the Huazhi Future Shareholders subject to any appraisal or restrictions required by applicable PRC laws and regulations. As of the date of this report, if Huazhixing exercised such option, the total option price that would be paid to all of the Huazhi Future Shareholders would be the lowest amount allowed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Share Disposal and Exclusive Option to Purchase Agreement, Huazhixing may at any time under any circumstances, purchase, or have its designee purchase, at its discretion, to the extent permitted under PRC law, all or part of the Huazhi Future Shareholders’ equity interests in Huazhi Future. The Share Disposal and Exclusive Option to Purchase Agreement, together with the Equity Pledge Agreement, Exclusive Business Cooperation and Service Agreement, and the Proxy Agreement, enable Huazhixing to exercise effective control over Huazhi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Disposal and Exclusive Option to Purchase Agreement remains effective for a term of 10 years and may be renewed at Huazhixing’s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Proxy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Proxy Agreement, the Huazhi Future Shareholders authorized Huazhixing to act on their behalf as their exclusive agent and attorney with respect to all rights as shareholders, including but not limited to: (a) attending shareholders’ meetings; (b) exercising all the shareholder’s rights, including voting, that a shareholder is entitled to under PRC laws and the Articles of Association, including but not limited to the sale or transfer or pledge or disposition of shares in part or in whole; and (c) designating and appointing on behalf of the shareholders the legal representative, the executive director, supervisor, the chief executive officer and other senior management members of Huazhi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Proxy Agreement is the same as the term of the Share Disposal and Exclusive Option to Purchase Agreement. The Proxy Agreement is irrevocable and continuously valid from the date of execution of the Proxy Agreement, so long as the Huazhi Future Shareholder is the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Contracts that enable the Company to receive substantially all of the economic benefits from the VIE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Exclusive Business Cooperation and Service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Business Cooperation and Service Agreement between Huazhi Future and Huazhixing, Huazhixing provides Huazhi Future with technical support, consulting services, intellectual services and other management services relating to its day-to-day business operations and management, on an exclusive basis, utilizing its advantages in technology, human resources, and information. Additionally, Huazhi Future granted an irrevocable and exclusive option to Huazhixing to purchase from Huazhi Future, any or all of its assets at the lowest purchase price permitted under PRC laws. Should Huazhixing exercise such option, the parties shall enter into a separate asset transfer or similar agreement. For services rendered to Huazhi Future by Huazhixing under this agreement, Huazhixing is entitled to collect a service fee calculated based on the time of services rendered multiplied by the corresponding rate, plus the amount of the service fees or ratio decided by the board of directors of Huazhixing based on the value of services rendered by Huazhixing and the actual income of Huazhi Future from time to time, which is approximately equal to the net income of Huazhi Future after deduction of the required PRC statutory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VIE Agreements, Huazhixing has effective control of Huazhi Future which enables Huazhixing to receive all of the expected residual returns and absorb the expected losses of the VIE and its subsidiaries. Management therefore concludes that the Company, through the above contractual arrangements, has the power to direct the activities that most significantly impact the VIE’s economic performance, bears the risks of and enjoys the rewards normally associated with ownership of the VIE, and therefore the Company is the ultimate primary beneficiary of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combined financial statements have been prepared on the going concern basis in accordance with, and in compliance with U.S. GAAP. The unaudited combined financial statements have been prepared on the basis of accounting policies applicable to a going concern. This basis presumes that funds will be available to finance future operations that the realization of assets and settlement of liabilities, contingent obligations and commitments will occur in the ordinary course of business. The unaudited combined financial statements have been prepared on the historical cost convention, unless otherwise stated in the accounting policies which follow and incorporate the principal accounting policies set out below. The presentation currency is RMB.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combined financial statements have been prepared assuming that the Company will continue as a going concern, which contemplates the realization of assets and the satisfaction of liabilities in the normal course of business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cash equivalents and restricted cash of approximately RMB31,297, accumulated deficit of approximately RMB144,747 and a negative working capital of approximately RMB135,958. The Company generated a net loss of approximately RMB14,775 and operating cash outflows of approximately RMB72,634 for the six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plan of operations and acknowledges that its plan of operations may not result in generating positive working capital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cash requirements for the next 12 months from the issuance date of this report, the Company is undertaking a combination of the remediation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March 31, 2026, the Company completed debt offsetting and debt-to-equity arrangements, resulting in a reduction of RMB432,116 in total payables, which resolved the negative working capital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intends to complete the equity transfer of Hangzhou Infinite Firepower by July 2026 in order to divest its underperforming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Following its acquisition by Maase Inc. (see Note 19), the Company expects to receive ongoing financial and strategic support. This includes anticipated capital injections or other funding arrangements designed to enhance the Company’s cash position and support its operations for a period of at least twelve months from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operating plan, management believes that the above-mentioned measures will collectively provide sufficient liquidity for the Company to meet its future liquidity and capital requirements for at least 12 months from the date the unaudited combined financial statements are issued. Accordingly, the unaudited combined financial statements for the six months ended December 31, 2025, have been prepared on a going concern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requires that non-controlling interests in subsidiaries and affiliates be reported in the equity section of a company’s balance sheet. In addition, the amounts attributable to the non-controlling interests in the net loss of these entities are reported separately in the unaudited combined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Uses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unaudited combined financial statements in conformity with U.S. GAAP, management makes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In accordance with ASC 250, changes in estimates will be recognized in the same period as changes in facts and circumstances. The Company bases its estimates on past experiences and on various other assumptions that are believed to be reasonable, the results of which form the basis for making judgments about the carrying values of assets and liabilities. Significant estimates required to be made by management include, but are not limited to, the assessment of expected credit losses, useful lives of property and equipment, business combinations and impairment of goodwill, short-term investments and the recoverability of long-lived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currency on hand and deposits held by banks that can be added or withdrawn without limitation. The Company maintains its bank accounts in the PRC. Cash balances in bank accounts in the PRC are not insured by the Federal Deposit Insurance Corporation or other programs. The Company considers all highly liquid investment instruments with an original maturity of three months or less from the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that is restricted as to withdrawal for use or pledged as security is reported separately on the face of the unaudited combined balance sheets, and is not included in the total cash and cash equivalents in the unaudited combined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includes deposits contractually reserved exclusively for scheduled repayment of outstanding bank loans per debt agreements. Funds to repay loans within 12 months are current restricted cash; funds for long-term debt redemption over one year are classified under other non-current assets. As of December 31, 2025, the balance of restricted cash amounted to RMB8,420.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other receivables,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the original invoiced amount less an estimated allowance for credit losses. Delinquent account balances are written-off against the allowance for credit losses after management has determined that the likelihood of collection is not probable. As of December 31, 2025, the balance of allowance for credit losses amounted to RMB5,775.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primarily include receivables from other corporations and individuals, advances on behalf of customers, deposits, advances to staff and other receivables. Management reviews the composition of deposits and other receivables and determines if an allowance for credit losses is needed. As of December 31, 2025, the balance of allowance for credit losses amounted to RMB25,948.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2016-13 “Financial Instruments — Credit Losses (Topic 326), Measurement of Credit Losses on Financial Instruments,” which replaces the incurred loss methodology with an expected loss methodology that is referred to as the current expected credit loss (“CECL”)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and other receivables are within the scope of ASC Topic 326. The Company makes estimates of expected credit and collectability trends for the allowance for credit losses based upon an assessment of various factors, including historical experience, the age of the accounts receivable and other receivables balances, credit-worthiness of the customers and other debtors, current economic conditions, reasonable and supportable forecasts of future economic conditions, and other factors that may affect its ability to collect from the customers and other debtors. The Company also provides specific provisions for allowance when facts and circumstances indicate that the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are recorded as allowance for credit losses on the unaudited combined statements of operations and comprehensive loss. Delinquent account balances are written-off against the allowance for credit losses after management has determined that the likelihood of collection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include wealth management products, which are certain deposits with variable interest rates or principal not-guaranteed by certain financial institutions and the Company can redeem the deposits at any time. The Company records wealth management products with variable interest rates with maturities less than one year at fair value in accordance with ASC 825 Financial Instruments. The interest earned is recognized in the unaudited combined statements of operations and comprehensive loss as 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assets are measured at fair value and recognized as either assets or liabilities on the unaudited combined balance sheets in either other current or non-current assets or other current liabilities or non-current liabilities depending upon maturity and commitment. Changes in the fair value of derivatives are either recognized periodically in the unaudited combined statements of operations and comprehensive loss or in other comprehensive income (loss) depending on the use of the derivatives and whether they qualify for hedge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selectively uses financial instruments to manage market risk associated with exposure to fluctuations in prices of agricultural commodities. These financial exposures are monitored and managed by the Company as an integral part of its risk management program. The Company does not engage in derivative instruments for speculative or trading purposes. The Company’s derivative financial assets are not qualified for hedge accounting, thus changes in fair value are recognized in “Investment income from derivative financial assets” in the unaudited combined statements of operations and comprehensive loss. The cash flows of derivative financial assets are classified in the same category as the cash flows from the items subject to the economic hedging relationships. The estimated fair value of the derivatives is determined based on relevant 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assets are presented as net if rights of setoff exist, with all of the following conditions met: (a) each of two parties owes the other determinable amounts; (b) the reporting party has the right to set off the amount owed with the amount owed by the other party; (c) the reporting party intends to set off; and (d) the right of setoff is enforceable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derivative financial assets were RMB nil. Investment income from derivative financial assets was RMB145 for the six months ended December 31, 2025 and the change in fair value of derivative financial assets was immaterial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550"/>
        <w:gridCol w:w="260"/>
        <w:gridCol w:w="9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1 </w:t>
            </w:r>
          </w:p>
        </w:tc>
        <w:tc>
          <w:tcPr>
            <w:tcW w:w="260" w:type="dxa"/>
            <w:tcBorders/>
            <w:vAlign w:val="center"/>
          </w:tcPr>
          <w:p>
            <w:pPr>
              <w:pStyle w:val="TableContents"/>
              <w:bidi w:val="0"/>
              <w:spacing w:before="0" w:after="283"/>
              <w:jc w:val="center"/>
              <w:rPr/>
            </w:pPr>
            <w:r>
              <w:rPr/>
              <w:t>—</w:t>
            </w:r>
          </w:p>
        </w:tc>
        <w:tc>
          <w:tcPr>
            <w:tcW w:w="9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are quoted prices (unadjusted) for identical assets or liabilities in active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0" w:type="dxa"/>
            <w:gridSpan w:val="2"/>
            <w:tcBorders/>
            <w:vAlign w:val="center"/>
          </w:tcPr>
          <w:p>
            <w:pPr>
              <w:pStyle w:val="TableContents"/>
              <w:bidi w:val="0"/>
              <w:spacing w:before="0" w:after="283"/>
              <w:jc w:val="both"/>
              <w:rPr/>
            </w:pPr>
            <w:r>
              <w:rPr/>
              <w:t> </w:t>
            </w:r>
          </w:p>
        </w:tc>
        <w:tc>
          <w:tcPr>
            <w:tcW w:w="9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2 </w:t>
            </w:r>
          </w:p>
        </w:tc>
        <w:tc>
          <w:tcPr>
            <w:tcW w:w="260" w:type="dxa"/>
            <w:tcBorders/>
            <w:vAlign w:val="center"/>
          </w:tcPr>
          <w:p>
            <w:pPr>
              <w:pStyle w:val="TableContents"/>
              <w:bidi w:val="0"/>
              <w:spacing w:before="0" w:after="283"/>
              <w:jc w:val="center"/>
              <w:rPr/>
            </w:pPr>
            <w:r>
              <w:rPr/>
              <w:t>—</w:t>
            </w:r>
          </w:p>
        </w:tc>
        <w:tc>
          <w:tcPr>
            <w:tcW w:w="9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0" w:type="dxa"/>
            <w:gridSpan w:val="2"/>
            <w:tcBorders/>
            <w:vAlign w:val="center"/>
          </w:tcPr>
          <w:p>
            <w:pPr>
              <w:pStyle w:val="TableContents"/>
              <w:bidi w:val="0"/>
              <w:spacing w:before="0" w:after="283"/>
              <w:jc w:val="both"/>
              <w:rPr/>
            </w:pPr>
            <w:r>
              <w:rPr/>
              <w:t> </w:t>
            </w:r>
          </w:p>
        </w:tc>
        <w:tc>
          <w:tcPr>
            <w:tcW w:w="91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Level 3 </w:t>
            </w:r>
          </w:p>
        </w:tc>
        <w:tc>
          <w:tcPr>
            <w:tcW w:w="260" w:type="dxa"/>
            <w:tcBorders/>
            <w:vAlign w:val="center"/>
          </w:tcPr>
          <w:p>
            <w:pPr>
              <w:pStyle w:val="TableContents"/>
              <w:bidi w:val="0"/>
              <w:spacing w:before="0" w:after="283"/>
              <w:jc w:val="center"/>
              <w:rPr/>
            </w:pPr>
            <w:r>
              <w:rPr/>
              <w:t>—</w:t>
            </w:r>
          </w:p>
        </w:tc>
        <w:tc>
          <w:tcPr>
            <w:tcW w:w="9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inputs to the valuation methodology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fair value of the Company’s financial instruments, including cash, short-term investments, accounts receivable, net, other receivables, net, amount due from related parties, other current assets, accounts payable, amounts due to related parties, other payables and accrued expenses, derivative financial assets and accrued payroll, the fair value of the respective assets and liabilities as of December 31, 2025 based upon the short-term nature of the assets and liabilities. For short-term borrowings and long-term borrowing, the fair value approximates their carrying value at the year-end as the fair value is estimated by used discounted cash flow, in which interest rates used to discount the bank loans approximate market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on a weighted average basis. Costs include mainly the cost of merchandise inventories. Net realizable value is the estimated selling price in the normal course of business less any costs to sell products. Write-down is recorded when future estimated net realizable value is less than cost, which is recorded in merchandise costs in the unaudited combined statements of operations and comprehensive loss. The Company periodically evaluates merchandise inventories for their net realizable value adjustments, and reduces the carrying value of those merchandise inventories that are obsolete or in excess of the forecasted usage to their estimated net realizable value based on various factors including aging and expiration dates, as applicable, taking into consideration historical and expected future product sales. As of December 31, 2025, inventories consist of: (i) perpetual exclusive global copyrights and usage rights for three online films and one online TV series; and (ii) goods in transit. For the six months ended December 31, 2025, inventory write-downs were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of property and equipment is provided using the straight-line method over their expected useful lives, as follows:</w:t>
      </w:r>
    </w:p>
    <w:p>
      <w:pPr>
        <w:pStyle w:val="TextBody"/>
        <w:bidi w:val="0"/>
        <w:spacing w:before="0" w:after="0"/>
        <w:ind w:left="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28" w:type="dxa"/>
          <w:right w:w="0" w:type="dxa"/>
        </w:tblCellMar>
      </w:tblPr>
      <w:tblGrid>
        <w:gridCol w:w="1685"/>
        <w:gridCol w:w="60"/>
        <w:gridCol w:w="1040"/>
      </w:tblGrid>
      <w:tr>
        <w:trPr/>
        <w:tc>
          <w:tcPr>
            <w:tcW w:w="1685" w:type="dxa"/>
            <w:tcBorders>
              <w:bottom w:val="single" w:sz="12" w:space="0" w:color="000000"/>
            </w:tcBorders>
            <w:shd w:fill="FFFFFF" w:val="clear"/>
            <w:vAlign w:val="center"/>
          </w:tcPr>
          <w:p>
            <w:pPr>
              <w:pStyle w:val="TableContents"/>
              <w:bidi w:val="0"/>
              <w:spacing w:before="0" w:after="283"/>
              <w:jc w:val="left"/>
              <w:rPr>
                <w:b/>
              </w:rPr>
            </w:pPr>
            <w:r>
              <w:rPr>
                <w:b/>
              </w:rPr>
              <w:t>Categories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0" w:type="dxa"/>
            <w:tcBorders>
              <w:bottom w:val="single" w:sz="12" w:space="0" w:color="000000"/>
            </w:tcBorders>
            <w:shd w:fill="FFFFFF" w:val="clear"/>
            <w:vAlign w:val="center"/>
          </w:tcPr>
          <w:p>
            <w:pPr>
              <w:pStyle w:val="TableContents"/>
              <w:bidi w:val="0"/>
              <w:spacing w:before="0" w:after="283"/>
              <w:jc w:val="center"/>
              <w:rPr>
                <w:b/>
              </w:rPr>
            </w:pPr>
            <w:r>
              <w:rPr>
                <w:b/>
              </w:rPr>
              <w:t>Useful life</w:t>
            </w:r>
          </w:p>
        </w:tc>
      </w:tr>
      <w:tr>
        <w:trPr/>
        <w:tc>
          <w:tcPr>
            <w:tcW w:w="1685" w:type="dxa"/>
            <w:tcBorders/>
            <w:shd w:fill="CCEEFF" w:val="clear"/>
            <w:tcMar>
              <w:bottom w:w="0" w:type="dxa"/>
            </w:tcMar>
            <w:vAlign w:val="center"/>
          </w:tcPr>
          <w:p>
            <w:pPr>
              <w:pStyle w:val="TableContents"/>
              <w:bidi w:val="0"/>
              <w:spacing w:before="0" w:after="283"/>
              <w:jc w:val="both"/>
              <w:rPr/>
            </w:pPr>
            <w:r>
              <w:rPr/>
              <w:t>Office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pPr>
            <w:r>
              <w:rPr/>
              <w:t>3 years</w:t>
            </w:r>
          </w:p>
        </w:tc>
      </w:tr>
      <w:tr>
        <w:trPr/>
        <w:tc>
          <w:tcPr>
            <w:tcW w:w="1685" w:type="dxa"/>
            <w:tcBorders/>
            <w:shd w:fill="FFFFFF" w:val="clear"/>
            <w:tcMar>
              <w:bottom w:w="0" w:type="dxa"/>
            </w:tcMar>
            <w:vAlign w:val="center"/>
          </w:tcPr>
          <w:p>
            <w:pPr>
              <w:pStyle w:val="TableContents"/>
              <w:bidi w:val="0"/>
              <w:spacing w:before="0" w:after="283"/>
              <w:jc w:val="both"/>
              <w:rPr/>
            </w:pPr>
            <w:r>
              <w:rPr/>
              <w:t>Automobiles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center"/>
              <w:rPr/>
            </w:pPr>
            <w:r>
              <w:rPr/>
              <w:t>4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maintenance and repairs, which do not materially extend the useful lives of the asset,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combined statements of operations and comprehensive loss in other income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Based on this assessment, no impairment of property and equipment was recorded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acquisitions are accounted for under the acquisition method. The acquisition method requires the reporting entity to identify the acquirer, determine the acquisition date, recognize and measure the identifiable assets acquired, the liabilities assumed and any non-controlling interest in the acquired entity, and recognize and measure goodwill or a bargain gain from the purchase. The acquiree’s results are included in the Company’s unaudited combined financial statements from the date of acquisition. Assets acquired and liabilities assumed are recorded at their fair values on the date acquired and the excess of the purchase price over the amounts assigned is recorded as goodwill, or if the fair value of the net assets acquired exceeds the purchase price consideration, a bargain purchase gain is recorded. Adjustments to fair value assessments are generally recorded to goodwill over the measurement period (not longer than 12 months). The acquisition method also requires that acquisition-related transaction and post-acquisition restructuring costs be charged to expense as committed, and requires the Company to recognize and measure certain assets and liabilities, including those arising from contingencies and contingent consideration in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assets acquired. The goodwill impairment test compares the fair value of a reporting unit with its carrying amount, including goodwill. If the carrying amount of a reporting unit exceeds its fair value, goodwill of the reporting unit would be considered impaired. To measure the amount of the impairment loss, the implied fair value of a reporting unit’s goodwill is compared to the carrying amount of that goodwill. The implied fair value of goodwill is determined in the same manner as the amount of goodwill recognized in a business combination. If the carrying amount of a reporting unit’s goodwill exceeds the implied fair value of that goodwill, an impairment loss is recognized in an amount equal to that excess. For each of these tests, the fair value of each of the Company’s reporting units is determined using a combination of valuation techniques, including a discounted cash flow methodology. To corroborate the discounted cash flow analysis performed at each reporting unit, a market approach is utilized using observable market data such as comparable companies in similar lines of business that are publicly traded or which are part of a public or private transaction (to the extent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No. 842, Leases (“Topic 842”). The Company leases office spaces, which are classified as operating leases in accordance with Topic 842. Under Topic 842, lessees are required to recognize the following for all leases (with the exception of short-term leases, usually with an initial term of 12 months or less) on the commencement date: (i) lease liability, which is a lessee’s obligation to make lease payments arising from a lease, measured on a discounted basis; and (ii) right-of-use (“ROU”) asset, which is an asset that represents the lessee’s right to use, or control the use of, a specified asset for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of a contract, the Company assesses whether a contract is, or contains, a lease. A contract is or contains a lease if it conveys the right to control the use of an identified asset for a period of time in exchange of a consideration. To assess whether a contract is or contains a lease, the Company assesses whether the contract involves the use of an identified asset, whether it has the right to obtain substantially all the economic benefits from the use of the asset and whether it has the right to control the use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ROU asset is recognized initially at cost, which primarily comprises the initial amount of the lease liability, plus any initial direct costs incurred, consisting mainly of brokerage commissions, less any lease incentives received. The Company recognizes operating lease expenses on a straight-line basis over the lease term and had no finance leases for any of the periods stated herein. All ROU assets are reviewed for impairment annually. There was no impairment for ROU lease assets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with finite lives, primarily including property and equipment and ROU assets, are reviewed for impairment whenever events or changes in circumstances (such as a significant adverse change to market conditions that will impact the future use of the assets) indicate that the carrying value of an asset may not be recoverable. If the estimated cash flows from the use of the asset and its eventual disposition are below the asset’s carrying value, then the asset is deemed to be impaired and written down to its fair value. For the six months ended December 31, 2025, the Company did not recognize impairment losses against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(“ASC 606”). 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ASC 606 requires the use of a new five-step model to recognize revenue from customer contracts.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 The application of the five-step model to the revenue streams compared to the prior guidance did not result in significant changes in the way the Company records its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the Company recognizes revenue when it transfers goods or renders services to customers in an amount that reflects the consideration to which the Company expects to be entitled in such exchange. All of the Company’s contracts have one single performance obligation as the promise is to transfer the individual goods or render the individual service to customers, and there is no other separately identifiable promise in the contracts. Revenue is reported net of all value added taxes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follows the requirements of Topic 606-10-55-36 through -40, Revenue from Contracts with Customers, Principal Agent Considerations, in determining the gross versus net revenue recognition for performance obligation(s) in the contract with a customer. Revenue recorded with the Company acting in the capacity of a principal is reported on a gross basis equal to the full amount of consideration to which the Company expects in exchange for the products or services transferred. Revenue recorded with the Company acting in the capacity of an agent is reported on a net basis, exclusive of any consideration provided to the principal party in the transaction. The principal versus agent evaluation is a matter of judgment that depends on the facts and circumstances of the arrangement and is dependent on whether the Company controls the products or services before they are transferred to the customer or whether it is acting as an agent of a third party. This evaluation is performed separately for each performance obligation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AI computing power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high-performance AI computing power services to customers for AI model training and downstream value-added computing businesses. The service arrangement represents a single distinct performance obligation. The service is capable of being distinct as customers can benefit from the computing power services on their own with readily available resources, and is distinct within the context of the contract as no other promises are included that would require combination. Customers simultaneously receive and consume the benefits provided by the Company’s performance throughout the contract term. Accordingly, revenue from AI computing power services is recognized over time as such services are performed on a straight-line basis over the contract period, as services are performed. The Company controls the computing resources before they are provided to customers, is primarily responsible for service delivery and performance, bears inventory risk related to the underlying infrastructure, and has discretion in pricing the services. Accordingly, the Company acts as a principal and recognizes related revenue on a gross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AI industry application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customized AI industry application solutions, including AI requirement analysis, AI system design, coding, testing and deployment. The overall development arrangement is accounted for as a single performance obligation. The promised components are highly interdependent and interrelated, and the Company provides a significant integration service to deliver a combined output for which the customer has contracted. Therefore, the individual components are not separately identifiable within the context of the contract and are combined into a single performance obligation. The Company does not have an enforceable right to payment for performance completed to date during the development phase. Accordingly, revenue from AI industry application solutions is recognized at a point in time upon completion, delivery and final customer acceptance of the customized system, which is when control of the AI industry application solution transfers to the customer. The Company controls the development process and the resulting customized system before transfer to the customer, is primarily responsible for the functionality and performance of the system, bears development-related risks, and has discretion in pricing. Accordingly, the Company acts as a principal and recognizes related revenue on a gross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sales of AI compute servers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in the sale of AI compute servers to customers. Sales arrangements represent a single performance obligation for the delivery of specified goods. The server is capable of being distinct as the customer can benefit from the server on its own, and is distinct within the context of the contract as no other promises are included that would require combination. Revenue is recognized at a point in time when the control of goods is transferred to the customer, which generally occurs at delivery. The Company is primarily responsible for product quality and delivery performance, bears inventory risk and customer credit risk, and has discretion in pricing and supplier selection. Accordingly, the Company acts as a principal and recognizes revenue on a gross basis. No significant returns, refunds and other similar obligations incurred for the six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sales of other electronic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sales of other electronic products, primarily consisting of mobile phones and integrated circuits. These sales arrangements represent a single performance obligation upon delivery of goods. Each product is capable of being distinct as the customer can benefit from the product on its own, and is distinct within the context of the contract as no other promises are included that would require combination. Revenue is recognized at a point in time when customers obtain control of and accept the delivered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mobile phone sales, the Company acts as a principal in certain transactions where it controls the inventory, assumes primary responsibility for product quality, has pricing discretion and bears customer credit risk, and accordingly recognizes revenue on a gross basis. For other mobile phone transactions and all sales of integrated circuits, the Company acts solely as a procurement agent, does not control the underlying goods before transfer, has no pricing discretion and does not bear substantive inventory or quality risk. Accordingly, the Company recognizes revenue on a net basis representing the commission earned for arranging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advertising placement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advertising placement services associated with animated short drama content. These services arrangements represent a single performance obligation. Each advertising placement service is capable of being distinct as the customer can benefit from the service on its own, and is distinct within the context of the contract as no other promises are included that would require combination. Revenue is recognized at a point in time upon completion of the advertising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advertising placement service revenue, the Company acts solely as an advertising resource agent, does not control the advertising inventory before transfer (advertising inventory is provided by third-party platforms), has no pricing discretion, and does not bear substantive advertising inventory risk. Accordingly, the Company recognizes revenue on a net basis representing the commission earned for arranging the advertising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other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other products and services, which mainly include other technical services, international study trip services and sales of fruits.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technical services and international study trip services contain highly interdependent bundled components that collectively form a single integrated performance obligation. The components are not separately identifiable within the context of the contract, as the Company provides a significant integration service to deliver a combined output for which the customer has contracted. Accordingly, all components are combined into a single performance obligation. Revenue from these services is recognized on a straight-line basis over the service period, as customers receive and consume the benefits evenly throughout the contract term. The Company controls the service delivery process, is primarily responsible for fulfilling the service obligations, bears performance-related risks, and has discretion in pricing. Accordingly, the Company acts as a principal for these two service lines and recognizes related revenue on a gross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fruit arrangements represent a single distinct performance obligation for the delivery of specified goods. The fruit is capable of being distinct as the customer can benefit from the fruit on its own, and is distinct within the context of the contract as no other promises are included that would require combination. Revenue from fruit sales is recognized at a point in time upon customer acceptance of delivery, when control of the fruits transfers to the customer. The Company does not control the fruits before transfer to customers, has no discretion in pricing, and does not bear significant inventory risk or primary product quality responsibility. Accordingly, the Company acts as an agent in these transactions and recognizes revenue on a net basis, representing the commission earned for arranging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balances typically arise when a difference in timing between the transfer of control to the customer and receipt of consideration occurs. The Company does not have contract assets as of December 31, 2025. Contract liabilities represent payment that has been received from the Company’s customers in advance of the delivery of products or services. The Company’s contract liabilities are reflected in its unaudited combined balance sheets of RMB13,820 as of December 31, 2025. All unsatisfied performance obligations will be performed within the next 12 months and no significant financing component is involved. Movements of contract liabilities were as follows:</w:t>
      </w:r>
    </w:p>
    <w:p>
      <w:pPr>
        <w:pStyle w:val="TextBody"/>
        <w:bidi w:val="0"/>
        <w:spacing w:before="0" w:after="0"/>
        <w:ind w:left="0" w:right="0" w:hanging="0"/>
        <w:jc w:val="both"/>
        <w:rPr>
          <w:caps w:val="false"/>
          <w:smallCaps w:val="false"/>
        </w:rPr>
      </w:pPr>
      <w:r>
        <w:rPr>
          <w:caps w:val="false"/>
          <w:smallCaps w:val="false"/>
        </w:rPr>
        <w:t> </w:t>
      </w:r>
    </w:p>
    <w:tbl>
      <w:tblPr>
        <w:tblW w:w="8639" w:type="dxa"/>
        <w:jc w:val="left"/>
        <w:tblInd w:w="0" w:type="dxa"/>
        <w:tblLayout w:type="fixed"/>
        <w:tblCellMar>
          <w:top w:w="0" w:type="dxa"/>
          <w:left w:w="0" w:type="dxa"/>
          <w:bottom w:w="0" w:type="dxa"/>
          <w:right w:w="0" w:type="dxa"/>
        </w:tblCellMar>
      </w:tblPr>
      <w:tblGrid>
        <w:gridCol w:w="6560"/>
        <w:gridCol w:w="60"/>
        <w:gridCol w:w="139"/>
        <w:gridCol w:w="1770"/>
        <w:gridCol w:w="110"/>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 Ended</w:t>
              <w:br/>
              <w:t>December 31,</w:t>
              <w:br/>
              <w:t>2025</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3,659</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Cash received in advance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pPr>
            <w:r>
              <w:rPr/>
              <w:t>40,397</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Revenue recognized from opening balance of contract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(3,659</w:t>
            </w:r>
          </w:p>
        </w:tc>
        <w:tc>
          <w:tcPr>
            <w:tcW w:w="110" w:type="dxa"/>
            <w:tcBorders/>
            <w:shd w:fill="CCEEFF" w:val="clear"/>
            <w:vAlign w:val="center"/>
          </w:tcPr>
          <w:p>
            <w:pPr>
              <w:pStyle w:val="TableContents"/>
              <w:bidi w:val="0"/>
              <w:spacing w:before="0" w:after="283"/>
              <w:jc w:val="left"/>
              <w:rPr/>
            </w:pPr>
            <w:r>
              <w:rPr/>
              <w:t>)</w:t>
            </w:r>
          </w:p>
        </w:tc>
      </w:tr>
      <w:tr>
        <w:trPr/>
        <w:tc>
          <w:tcPr>
            <w:tcW w:w="6560" w:type="dxa"/>
            <w:tcBorders/>
            <w:shd w:fill="FFFFFF" w:val="clear"/>
            <w:vAlign w:val="center"/>
          </w:tcPr>
          <w:p>
            <w:pPr>
              <w:pStyle w:val="TableContents"/>
              <w:bidi w:val="0"/>
              <w:spacing w:before="0" w:after="283"/>
              <w:jc w:val="left"/>
              <w:rPr/>
            </w:pPr>
            <w:r>
              <w:rPr/>
              <w:t>Revenue recognized from contract liabilities arising during the period</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70" w:type="dxa"/>
            <w:tcBorders>
              <w:bottom w:val="single" w:sz="12" w:space="0" w:color="000000"/>
            </w:tcBorders>
            <w:shd w:fill="FFFFFF" w:val="clear"/>
            <w:tcMar>
              <w:bottom w:w="28" w:type="dxa"/>
            </w:tcMar>
            <w:vAlign w:val="center"/>
          </w:tcPr>
          <w:p>
            <w:pPr>
              <w:pStyle w:val="TableContents"/>
              <w:bidi w:val="0"/>
              <w:spacing w:before="0" w:after="283"/>
              <w:jc w:val="right"/>
              <w:rPr/>
            </w:pPr>
            <w:r>
              <w:rPr/>
              <w:t>(26,577</w:t>
            </w:r>
          </w:p>
        </w:tc>
        <w:tc>
          <w:tcPr>
            <w:tcW w:w="110" w:type="dxa"/>
            <w:tcBorders/>
            <w:shd w:fill="FFFFFF" w:val="clear"/>
            <w:vAlign w:val="center"/>
          </w:tcPr>
          <w:p>
            <w:pPr>
              <w:pStyle w:val="TableContents"/>
              <w:bidi w:val="0"/>
              <w:spacing w:before="0" w:after="283"/>
              <w:jc w:val="left"/>
              <w:rPr/>
            </w:pPr>
            <w:r>
              <w:rPr/>
              <w:t>)</w:t>
            </w:r>
          </w:p>
        </w:tc>
      </w:tr>
      <w:tr>
        <w:trPr/>
        <w:tc>
          <w:tcPr>
            <w:tcW w:w="6560" w:type="dxa"/>
            <w:tcBorders/>
            <w:shd w:fill="CCEEFF" w:val="clear"/>
            <w:vAlign w:val="center"/>
          </w:tcPr>
          <w:p>
            <w:pPr>
              <w:pStyle w:val="TableContents"/>
              <w:bidi w:val="0"/>
              <w:spacing w:before="0" w:after="283"/>
              <w:jc w:val="left"/>
              <w:rPr/>
            </w:pPr>
            <w:r>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70" w:type="dxa"/>
            <w:tcBorders>
              <w:bottom w:val="double" w:sz="10" w:space="0" w:color="000000"/>
            </w:tcBorders>
            <w:shd w:fill="CCEEFF" w:val="clear"/>
            <w:tcMar>
              <w:bottom w:w="28" w:type="dxa"/>
            </w:tcMar>
            <w:vAlign w:val="center"/>
          </w:tcPr>
          <w:p>
            <w:pPr>
              <w:pStyle w:val="TableContents"/>
              <w:bidi w:val="0"/>
              <w:spacing w:before="0" w:after="283"/>
              <w:jc w:val="right"/>
              <w:rPr/>
            </w:pPr>
            <w:r>
              <w:rPr/>
              <w:t>13,820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 from contracts by product and service types, timing of revenue recognition and geographic areas, as the Company believes doing so best depicts how the nature, amount, timing and uncertainty of the revenue and cash flows are affected by economic factors. The Company’s disaggregation of revenues for the six months ended December 31,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Revenue by product and service categories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Company’s total revenues by product and service categories for the six months ended December 31, 2025 was as follows:</w:t>
      </w:r>
    </w:p>
    <w:p>
      <w:pPr>
        <w:pStyle w:val="TextBody"/>
        <w:bidi w:val="0"/>
        <w:spacing w:before="0" w:after="0"/>
        <w:ind w:left="0" w:right="0" w:hanging="0"/>
        <w:jc w:val="both"/>
        <w:rPr>
          <w:caps w:val="false"/>
          <w:smallCaps w:val="false"/>
        </w:rPr>
      </w:pPr>
      <w:r>
        <w:rPr>
          <w:caps w:val="false"/>
          <w:smallCaps w:val="false"/>
        </w:rPr>
        <w:t> </w:t>
      </w:r>
    </w:p>
    <w:tbl>
      <w:tblPr>
        <w:tblW w:w="5274" w:type="dxa"/>
        <w:jc w:val="left"/>
        <w:tblInd w:w="0" w:type="dxa"/>
        <w:tblLayout w:type="fixed"/>
        <w:tblCellMar>
          <w:top w:w="0" w:type="dxa"/>
          <w:left w:w="0" w:type="dxa"/>
          <w:bottom w:w="0" w:type="dxa"/>
          <w:right w:w="0" w:type="dxa"/>
        </w:tblCellMar>
      </w:tblPr>
      <w:tblGrid>
        <w:gridCol w:w="3170"/>
        <w:gridCol w:w="60"/>
        <w:gridCol w:w="158"/>
        <w:gridCol w:w="1811"/>
        <w:gridCol w:w="75"/>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December 31,</w:t>
              <w:br/>
              <w:t>2025</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AI computing power service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31,963</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AI industry application solutions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16,983</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Sales of AI compute servers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25,573</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Sales of other electronic products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811" w:type="dxa"/>
            <w:tcBorders/>
            <w:shd w:fill="FFFFFF" w:val="clear"/>
            <w:vAlign w:val="center"/>
          </w:tcPr>
          <w:p>
            <w:pPr>
              <w:pStyle w:val="TableContents"/>
              <w:bidi w:val="0"/>
              <w:spacing w:before="0" w:after="283"/>
              <w:jc w:val="right"/>
              <w:rPr/>
            </w:pPr>
            <w:r>
              <w:rPr/>
              <w:t>7,158</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Advertising placement service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11" w:type="dxa"/>
            <w:tcBorders/>
            <w:shd w:fill="CCEEFF" w:val="clear"/>
            <w:vAlign w:val="center"/>
          </w:tcPr>
          <w:p>
            <w:pPr>
              <w:pStyle w:val="TableContents"/>
              <w:bidi w:val="0"/>
              <w:spacing w:before="0" w:after="283"/>
              <w:jc w:val="right"/>
              <w:rPr/>
            </w:pPr>
            <w:r>
              <w:rPr/>
              <w:t>2,258</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1" w:type="dxa"/>
            <w:tcBorders>
              <w:bottom w:val="single" w:sz="12" w:space="0" w:color="000000"/>
            </w:tcBorders>
            <w:shd w:fill="FFFFFF" w:val="clear"/>
            <w:tcMar>
              <w:bottom w:w="28" w:type="dxa"/>
            </w:tcMar>
            <w:vAlign w:val="center"/>
          </w:tcPr>
          <w:p>
            <w:pPr>
              <w:pStyle w:val="TableContents"/>
              <w:bidi w:val="0"/>
              <w:spacing w:before="0" w:after="283"/>
              <w:jc w:val="right"/>
              <w:rPr/>
            </w:pPr>
            <w:r>
              <w:rPr/>
              <w:t>2,104</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11" w:type="dxa"/>
            <w:tcBorders>
              <w:bottom w:val="double" w:sz="10" w:space="0" w:color="000000"/>
            </w:tcBorders>
            <w:shd w:fill="CCEEFF" w:val="clear"/>
            <w:tcMar>
              <w:bottom w:w="28" w:type="dxa"/>
            </w:tcMar>
            <w:vAlign w:val="center"/>
          </w:tcPr>
          <w:p>
            <w:pPr>
              <w:pStyle w:val="TableContents"/>
              <w:bidi w:val="0"/>
              <w:spacing w:before="0" w:after="283"/>
              <w:jc w:val="right"/>
              <w:rPr/>
            </w:pPr>
            <w:r>
              <w:rPr/>
              <w:t>86,039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by timing of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Company’s total revenues by timing of revenue recognition for the six months ended December 31, 2025 was as follows: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605"/>
        <w:gridCol w:w="60"/>
        <w:gridCol w:w="114"/>
        <w:gridCol w:w="1301"/>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w:t>
              <w:br/>
              <w:t xml:space="preserve">Ended </w:t>
              <w:br/>
              <w:t>December 31,</w:t>
              <w:br/>
              <w:t>2025</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34,019</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52,020</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86,039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all of the Company’s revenue was derived from the China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recognized as expenses in the period when incurred. These costs are primarily attributable to the development and maintenance of the AI and computing power services platform, payroll-and-employee benefits, internal research activities, and other expenditures for software system development used to support and enhance the Company’s business operations. For the six months ended December 31, 2025, research and development expenses were RMB3,692.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unaudited combined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six months ended December 31, 2025. The Company does not believe there was any uncertain tax provision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entities in China are subject to the income tax laws of the PRC. As of December 31, 2025, for the tax years ended December 31, 2021 through December 31, 2025, the Company’s PRC subsidiaries remained open for statutory examination by PRC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revenue is reported net of VAT. The VAT is calculated based on the gross sales price, with applicable VAT rates ranging from 1% to 13% in accordance with Chinese tax law. Entities that qualify as VAT general taxpayers are allowed to offset qualified input VAT paid to suppliers against their output VAT liabilities. Huayuan Future and Chongqing Xinzhichu are qualified as small-scale VAT taxpayers under PRC tax laws, which generally applies to entities with annual taxable sales not exceeding RMB5,000. This subsidiary accounts for VAT under a simplified collection regime, which is distinct from the general taxpayer regime.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Political and economic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Company are located in the Chinese Mainland. Accordingly, the Company’s business, financial condition, and results of operations may be influenced by political, economic, and legal environments in the Chinese Mainland, as well as by the general state of the Chinese Mainland economy. The Company’s results of operations may be adversely affected by changes in the political, regulatory, and social conditions in Chinese Mainland. Although, to date, the Company has not experienced losses from these situations and believes that it is in compliance with existing laws and regulations including its organization and structure disclosed in Note 1, such experience may not be indicative of future results.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RMB22,877 of the Company’s cash was on deposit at financial institutions in Chinese Mainland, where there currently is no rule or regulation requiring such financial institutions to maintain insurance to cover bank deposits in the event of bank failure. The Company has not experienced any losses in such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exposed to credit risk. The risk is mitigated by the Company’s assessment of its customers’ creditworthiness and its ongoing monitoring of outstanding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two customers accounted for 36.4% and 10.2% of the Company’s total revenue,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two customers accounted for 36.0% and 16.9% of the Company’s total accounts receivable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one supplier accounted for 24.0%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three suppliers accounted for 53.2%, 25.6% and 10.4% of the Company’s total accounts payable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combined financial statements of the Company are stated in RMB. Translations of amounts from RMB into USD are solely for the convenience of the readers outside of China and were calculated at the rate of US$1.00 = RMB6.9931, representing the noon buying rate in the City of New York for cable transfers of RMB on December 31, 2025, the last business day in six months ended December 31, 2025, as set forth in H.10 statistical release of the Federal Reserve Bank of New York. The translation is not intended to imply that the RMB amounts could have been, or could be, converted, realized or settled into USD at such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identifies related parties, and accounts for and discloses related party transactions in accordance with ASC 850, “Related Party Disclosures” and other relevant SEC rules and regulations. A related party is generally defined as (i) any person and/or their immediate family member holding 5% or more of the Company’s securities, (ii) anyone on the Company’s management team, (iii) someone who directly or indirectly controls, is controlled by or is under common control with, the Company, or (iv) anyone who can significantly influence the financial and operating decisions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significant common influence. Transactions between related parties commonly occurring in the normal course of business are considered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this ASU commencing July 1, 2024 and the adoption of the ASU does not have a material effect on its unaudited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criteria established by ASC 280, the Company’s CODM has been identified as the Chief Executive Officer, who reviews combined results when making decisions about allocating resources and assessing performance of the Company as a whole and hence, the Company has only one operating segment. The Company does not distinguish between markets or segments for the purpose of internal reporting. The CODM considers year-over-year fluctuations and budget-to-actual variances of these combined results when assessing performance and making operating decisions. The Company manages assets on a combined basis as reported on the unaudited combined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uses year-over-year fluctuations as the overall key performance indicator and budget-to-actual variances of these combined results for a single year as the measures of segment profit or loss. The Company operates as one operating and reportable segment, and as such significant segment expenses are consistent with those reported on the unaudited combined statements of operations and comprehensive loss, and include costs of revenue, selling expenses, general and administrative expenses, research and development expenses and net recovery of credit losses. Other segment items that are presented on the unaudited combined statements of operations and comprehensive loss include investment income on short-term investments and derivative financial assets, interest income, interest expenses, other expenses, net, and income tax expense. For significant segment expenses and other segment items incurred during the six months ended December 31, 2025, refer to the Unaudited Combined Statements of Operations and Comprehensive Loss. The Company manages assets on a combined basis as reported on the unaudited combined balance sheets. The Company’s long-lived assets are all located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(“ASUs”). Management periodically reviews new accounting standards that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No. 2024-03, “Income Statement - Reporting Comprehensive Income (Topic 22): Expense Disaggregation Disclosures”. This ASU requires entities to 1. disclose amounts of (a) purchase of inventory, (b) employee compensation, (c) depreciation, (d) intangible asset amortization, and, (e) depreciation, depletion, and amortization recognized as part of oil-and gas-producing activities, 2. include certain amounts that are already required to be disclosed under current Generally Accepted Accounting Principles in the same disclosures as other disaggregation requirements, 3. 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plans to adopt this guidance effectively July 1, 2027 and the Company is currently evaluating the impact of adopting this ASU on its unaudited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 - 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Company adopted this guidance effectively July 1, 2026 and the adoption of this ASU did not have a material impact on its unaudited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The Company plans to adopt this guidance effective July 1, 2028 and the Company is currently evaluating the impact of adopting this ASU on its unaudited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thirty-three issues are addressed in this Update. Generally, the amendments in this Update are not intended to result in significant changes for most entities. However, the Board recognizes that changes to guidance may result in accounting changes for some entities. Therefore, the Board is providing transition guidance for the amendments. The amendments in this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this Update in an interim period, it must adopt them as of the beginning of the annual reporting period that includes that interim reporting period. An entity may elect to early adopt the amendments on an issue-by-issue basis. For example, an entity may decide to early adopt certain amendments and adopt the remaining amendments at the effective date. An entity should apply the amendments in this Update (except for the amendments to Topic 260, Earnings Per Share, related to Issue 4) using one of the following transition methods: 1. Prospectively to all transactions recognized on or after the date that the entity first applies the amendments 2. Retrospectively to the beginning of the earliest comparative period presented. An entity should adjust the opening balance of retained earnings (or other appropriate components of equity or net assets in the statement of financial position) as of the beginning of the earliest comparative period presented. An entity may elect the transition method on an issue-by-issue basis. For example, it may apply certain amendments prospectively while applying others retrospectively. For the amendments in this Update to Topic 260 (that is, Issue 4), an entity should apply the amendments retrospectively to each prior reporting period presented in the period of adoption. The Company plans to adopt this guidance effectively July 1, 2027 and the Company is currently evaluating the impact of adopting this ASU on its unaudited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FASB that do not require adoption until a future date are not expected to have a material impact on the unaudited combined financial statements upon adoption. The Company does not discuss recent standards that are not anticipated to have an impact on or are unrelated to its combined financial condition, results of operations, cash flows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3080"/>
        <w:gridCol w:w="60"/>
        <w:gridCol w:w="113"/>
        <w:gridCol w:w="13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15,728</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5,775</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9,953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primarily include balances due from customers when the Company’s services have been rendered to customers or the Company’s products have been sold and delivered to customers, which have not been collected as of the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unaudited combined financial statements, approximately 43.6%, or RMB4,343, of the December 31, 2025 outstanding customer balances have been subsequently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allowance for credit losses was as follows:</w:t>
      </w:r>
    </w:p>
    <w:p>
      <w:pPr>
        <w:pStyle w:val="TextBody"/>
        <w:bidi w:val="0"/>
        <w:spacing w:before="0" w:after="0"/>
        <w:ind w:left="0" w:right="0" w:hanging="0"/>
        <w:jc w:val="both"/>
        <w:rPr>
          <w:caps w:val="false"/>
          <w:smallCaps w:val="false"/>
        </w:rPr>
      </w:pPr>
      <w:r>
        <w:rPr>
          <w:caps w:val="false"/>
          <w:smallCaps w:val="false"/>
        </w:rPr>
        <w:t> </w:t>
      </w:r>
    </w:p>
    <w:tbl>
      <w:tblPr>
        <w:tblW w:w="3354" w:type="dxa"/>
        <w:jc w:val="left"/>
        <w:tblInd w:w="0" w:type="dxa"/>
        <w:tblLayout w:type="fixed"/>
        <w:tblCellMar>
          <w:top w:w="0" w:type="dxa"/>
          <w:left w:w="0" w:type="dxa"/>
          <w:bottom w:w="0" w:type="dxa"/>
          <w:right w:w="0" w:type="dxa"/>
        </w:tblCellMar>
      </w:tblPr>
      <w:tblGrid>
        <w:gridCol w:w="1805"/>
        <w:gridCol w:w="60"/>
        <w:gridCol w:w="136"/>
        <w:gridCol w:w="1278"/>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w:t>
              <w:br/>
              <w:t xml:space="preserve">Ended </w:t>
              <w:br/>
              <w:t>December 31,</w:t>
              <w:br/>
              <w:t>2025</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5,775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5,775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contract fulfillment costs:</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945"/>
        <w:gridCol w:w="60"/>
        <w:gridCol w:w="114"/>
        <w:gridCol w:w="1301"/>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10,635</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Balance at end of period</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10,635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customer acceptance in May 2026, the related contract fulfillment costs of RMB9,692 were recognized in cost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OTHER RECEIVABLES,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5285"/>
        <w:gridCol w:w="60"/>
        <w:gridCol w:w="114"/>
        <w:gridCol w:w="1301"/>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Receivables from other corporations and individuals (1)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33,876</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Advances on behalf of customers (2)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24,285</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931</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Advances to staff</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73</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68</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59,233</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25,948</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shd w:fill="FFFFFF" w:val="clear"/>
            <w:vAlign w:val="center"/>
          </w:tcPr>
          <w:p>
            <w:pPr>
              <w:pStyle w:val="TableContents"/>
              <w:bidi w:val="0"/>
              <w:spacing w:before="0" w:after="283"/>
              <w:jc w:val="left"/>
              <w:rPr/>
            </w:pPr>
            <w:r>
              <w:rPr/>
              <w:t>Total other receivables, net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FFFFFF" w:val="clear"/>
            <w:tcMar>
              <w:bottom w:w="28" w:type="dxa"/>
            </w:tcMar>
            <w:vAlign w:val="center"/>
          </w:tcPr>
          <w:p>
            <w:pPr>
              <w:pStyle w:val="TableContents"/>
              <w:bidi w:val="0"/>
              <w:spacing w:before="0" w:after="283"/>
              <w:jc w:val="right"/>
              <w:rPr/>
            </w:pPr>
            <w:r>
              <w:rPr/>
              <w:t>33,285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283"/>
              <w:jc w:val="both"/>
              <w:rPr/>
            </w:pPr>
            <w:r>
              <w:rPr/>
              <w:t>Receivables from other corporations and individuals represent non-interest-bearing loans due from external corporations and individuals without specified maturity dates.</w:t>
              <w:br/>
              <w:br/>
              <w:t>On March 31, 2026, Huazhi Future, Huarong Future and Shenzhen Qianhai Zhihuitong Information Technology Co., Ltd. (“Zhihuitong”, formerly known as Qianhai Settlement Co., Ltd.) entered into a series of tri-party offset agreements with relevant third-party entities to settle and restructure the outstanding borrowing balances. During the six months ended December 31, 2025, an aggregate amount of RMB205,910 in receivables from other corporations and individuals was offset. Upon completion of the offset arrangement, the outstanding balance of such receivables was reduced to RMB33,876 as of December 31, 2025. As of December 31, 2025, the allowance for credit losses amounted to RMB21,520.</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 </w:t>
            </w:r>
          </w:p>
        </w:tc>
      </w:tr>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on behalf of customers represent payments made by the Company to suppliers for goods purchased under agency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allowance for credit losses was as follows:</w:t>
      </w:r>
    </w:p>
    <w:p>
      <w:pPr>
        <w:pStyle w:val="TextBody"/>
        <w:bidi w:val="0"/>
        <w:spacing w:before="0" w:after="0"/>
        <w:ind w:left="0" w:right="0" w:hanging="0"/>
        <w:jc w:val="both"/>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1805"/>
        <w:gridCol w:w="60"/>
        <w:gridCol w:w="114"/>
        <w:gridCol w:w="1301"/>
        <w:gridCol w:w="11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Six Months</w:t>
              <w:br/>
              <w:t>Ended</w:t>
              <w:br/>
              <w:t>December 31,</w:t>
              <w:br/>
              <w:t>2025</w:t>
            </w:r>
          </w:p>
        </w:tc>
        <w:tc>
          <w:tcPr>
            <w:tcW w:w="11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26,367</w:t>
            </w:r>
          </w:p>
        </w:tc>
        <w:tc>
          <w:tcPr>
            <w:tcW w:w="11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Reductions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(415</w:t>
            </w:r>
          </w:p>
        </w:tc>
        <w:tc>
          <w:tcPr>
            <w:tcW w:w="11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Write-offs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FFFFFF" w:val="clear"/>
            <w:tcMar>
              <w:bottom w:w="28" w:type="dxa"/>
            </w:tcMar>
            <w:vAlign w:val="center"/>
          </w:tcPr>
          <w:p>
            <w:pPr>
              <w:pStyle w:val="TableContents"/>
              <w:bidi w:val="0"/>
              <w:spacing w:before="0" w:after="283"/>
              <w:jc w:val="right"/>
              <w:rPr/>
            </w:pPr>
            <w:r>
              <w:rPr/>
              <w:t>25,948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 ADVANCE TO SUPPLIERS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3579" w:type="dxa"/>
        <w:jc w:val="left"/>
        <w:tblInd w:w="0" w:type="dxa"/>
        <w:tblLayout w:type="fixed"/>
        <w:tblCellMar>
          <w:top w:w="0" w:type="dxa"/>
          <w:left w:w="0" w:type="dxa"/>
          <w:bottom w:w="0" w:type="dxa"/>
          <w:right w:w="0" w:type="dxa"/>
        </w:tblCellMar>
      </w:tblPr>
      <w:tblGrid>
        <w:gridCol w:w="2030"/>
        <w:gridCol w:w="60"/>
        <w:gridCol w:w="113"/>
        <w:gridCol w:w="1301"/>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Advance to suppliers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10,163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 primarily represents prepaid service fees for AI computing power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3519" w:type="dxa"/>
        <w:jc w:val="left"/>
        <w:tblInd w:w="0" w:type="dxa"/>
        <w:tblLayout w:type="fixed"/>
        <w:tblCellMar>
          <w:top w:w="0" w:type="dxa"/>
          <w:left w:w="0" w:type="dxa"/>
          <w:bottom w:w="0" w:type="dxa"/>
          <w:right w:w="0" w:type="dxa"/>
        </w:tblCellMar>
      </w:tblPr>
      <w:tblGrid>
        <w:gridCol w:w="1970"/>
        <w:gridCol w:w="60"/>
        <w:gridCol w:w="113"/>
        <w:gridCol w:w="1301"/>
        <w:gridCol w:w="7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Licensed content (1)</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5,943</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Goods in transit (2)</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4,520</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10,463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2024, the Company entered into a copyright agreement to acquire the perpetual exclusive global copyrights and usage rights for three online films and one online TV series, with a total consideration of RMB5,943. These rights are classified as licensed content and presented within inventories as current assets on the unaudited combined balance sheets.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Goods in transit were accepted by the customer in January 2026 and transferred to cost of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3245"/>
        <w:gridCol w:w="60"/>
        <w:gridCol w:w="136"/>
        <w:gridCol w:w="1278"/>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Automobiles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1,321</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1,501</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3245"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1,085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RMB185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the Company had no property and equipment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under non-cancelable operating leases, with terms ranging from two years to five years. The Company considers renewal or termination options that are reasonably certain to be exercised in the determination of the lease term and initial measurement of ROU assets and lease liabilities. Lease expenses are recognized on a straight-line basis over the lease term. Leases with initial term of 12 months or less are not recorded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discounts lease payments based on an estimate of its incremental borrowing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operating lease related assets and liabilities recorded on the unaudited combined balance sheets:</w:t>
      </w:r>
    </w:p>
    <w:p>
      <w:pPr>
        <w:pStyle w:val="TextBody"/>
        <w:bidi w:val="0"/>
        <w:spacing w:before="0" w:after="0"/>
        <w:ind w:left="0" w:right="0" w:hanging="0"/>
        <w:jc w:val="both"/>
        <w:rPr>
          <w:caps w:val="false"/>
          <w:smallCaps w:val="false"/>
        </w:rPr>
      </w:pPr>
      <w:r>
        <w:rPr>
          <w:caps w:val="false"/>
          <w:smallCaps w:val="false"/>
        </w:rPr>
        <w:t> </w:t>
      </w:r>
    </w:p>
    <w:tbl>
      <w:tblPr>
        <w:tblW w:w="5289" w:type="dxa"/>
        <w:jc w:val="left"/>
        <w:tblInd w:w="0" w:type="dxa"/>
        <w:tblLayout w:type="fixed"/>
        <w:tblCellMar>
          <w:top w:w="0" w:type="dxa"/>
          <w:left w:w="0" w:type="dxa"/>
          <w:bottom w:w="0" w:type="dxa"/>
          <w:right w:w="0" w:type="dxa"/>
        </w:tblCellMar>
      </w:tblPr>
      <w:tblGrid>
        <w:gridCol w:w="3740"/>
        <w:gridCol w:w="60"/>
        <w:gridCol w:w="136"/>
        <w:gridCol w:w="1278"/>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1,099</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487</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549</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1,036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discount rates for all operating leases were as follows:</w:t>
      </w:r>
    </w:p>
    <w:p>
      <w:pPr>
        <w:pStyle w:val="TextBody"/>
        <w:bidi w:val="0"/>
        <w:spacing w:before="0" w:after="0"/>
        <w:ind w:left="0" w:right="0" w:hanging="0"/>
        <w:jc w:val="both"/>
        <w:rPr>
          <w:caps w:val="false"/>
          <w:smallCaps w:val="false"/>
        </w:rPr>
      </w:pPr>
      <w:r>
        <w:rPr>
          <w:caps w:val="false"/>
          <w:smallCaps w:val="false"/>
        </w:rPr>
        <w:t> </w:t>
      </w:r>
    </w:p>
    <w:tbl>
      <w:tblPr>
        <w:tblW w:w="6164" w:type="dxa"/>
        <w:jc w:val="left"/>
        <w:tblInd w:w="0" w:type="dxa"/>
        <w:tblLayout w:type="fixed"/>
        <w:tblCellMar>
          <w:top w:w="0" w:type="dxa"/>
          <w:left w:w="0" w:type="dxa"/>
          <w:bottom w:w="0" w:type="dxa"/>
          <w:right w:w="0" w:type="dxa"/>
        </w:tblCellMar>
      </w:tblPr>
      <w:tblGrid>
        <w:gridCol w:w="4460"/>
        <w:gridCol w:w="60"/>
        <w:gridCol w:w="169"/>
        <w:gridCol w:w="1245"/>
        <w:gridCol w:w="23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Remaining lease term and discount rate:</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2.31</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4.60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for the six months ended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2330"/>
        <w:gridCol w:w="60"/>
        <w:gridCol w:w="267"/>
        <w:gridCol w:w="1702"/>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 Ended,</w:t>
              <w:br/>
              <w:t>December 31,</w:t>
              <w:br/>
              <w:t>2025</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702" w:type="dxa"/>
            <w:tcBorders/>
            <w:shd w:fill="CCEEFF" w:val="clear"/>
            <w:vAlign w:val="center"/>
          </w:tcPr>
          <w:p>
            <w:pPr>
              <w:pStyle w:val="TableContents"/>
              <w:bidi w:val="0"/>
              <w:spacing w:before="0" w:after="283"/>
              <w:jc w:val="right"/>
              <w:rPr/>
            </w:pPr>
            <w:r>
              <w:rPr/>
              <w:t>406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by years, of maturities of lease liabilities as of December 31, 2025:</w:t>
      </w:r>
    </w:p>
    <w:p>
      <w:pPr>
        <w:pStyle w:val="TextBody"/>
        <w:bidi w:val="0"/>
        <w:spacing w:before="0" w:after="0"/>
        <w:ind w:left="0" w:right="0" w:hanging="0"/>
        <w:jc w:val="both"/>
        <w:rPr>
          <w:caps w:val="false"/>
          <w:smallCaps w:val="false"/>
        </w:rPr>
      </w:pPr>
      <w:r>
        <w:rPr>
          <w:caps w:val="false"/>
          <w:smallCaps w:val="false"/>
        </w:rPr>
        <w:t> </w:t>
      </w:r>
    </w:p>
    <w:tbl>
      <w:tblPr>
        <w:tblW w:w="5574" w:type="dxa"/>
        <w:jc w:val="left"/>
        <w:tblInd w:w="0" w:type="dxa"/>
        <w:tblLayout w:type="fixed"/>
        <w:tblCellMar>
          <w:top w:w="0" w:type="dxa"/>
          <w:left w:w="0" w:type="dxa"/>
          <w:bottom w:w="28" w:type="dxa"/>
          <w:right w:w="0" w:type="dxa"/>
        </w:tblCellMar>
      </w:tblPr>
      <w:tblGrid>
        <w:gridCol w:w="3710"/>
        <w:gridCol w:w="60"/>
        <w:gridCol w:w="167"/>
        <w:gridCol w:w="1562"/>
        <w:gridCol w:w="75"/>
      </w:tblGrid>
      <w:tr>
        <w:trPr/>
        <w:tc>
          <w:tcPr>
            <w:tcW w:w="3710" w:type="dxa"/>
            <w:tcBorders>
              <w:bottom w:val="single" w:sz="12" w:space="0" w:color="000000"/>
            </w:tcBorders>
            <w:vAlign w:val="center"/>
          </w:tcPr>
          <w:p>
            <w:pPr>
              <w:pStyle w:val="TableContents"/>
              <w:bidi w:val="0"/>
              <w:spacing w:before="0" w:after="283"/>
              <w:jc w:val="left"/>
              <w:rPr>
                <w:b/>
              </w:rPr>
            </w:pPr>
            <w:r>
              <w:rPr>
                <w:b/>
              </w:rPr>
              <w:t>Twelve months ended December 31,</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12" w:space="0" w:color="000000"/>
            </w:tcBorders>
            <w:vAlign w:val="center"/>
          </w:tcPr>
          <w:p>
            <w:pPr>
              <w:pStyle w:val="TableContents"/>
              <w:bidi w:val="0"/>
              <w:spacing w:before="0" w:after="283"/>
              <w:jc w:val="center"/>
              <w:rPr>
                <w:b/>
              </w:rPr>
            </w:pPr>
            <w:r>
              <w:rPr>
                <w:b/>
              </w:rPr>
              <w:t xml:space="preserve">Minimum Lease </w:t>
              <w:br/>
              <w:t>Payment</w:t>
            </w:r>
          </w:p>
        </w:tc>
        <w:tc>
          <w:tcPr>
            <w:tcW w:w="75" w:type="dxa"/>
            <w:tcBorders/>
            <w:tcMar>
              <w:bottom w:w="0" w:type="dxa"/>
            </w:tcMar>
            <w:vAlign w:val="center"/>
          </w:tcPr>
          <w:p>
            <w:pPr>
              <w:pStyle w:val="TableContents"/>
              <w:bidi w:val="0"/>
              <w:spacing w:before="0" w:after="283"/>
              <w:jc w:val="left"/>
              <w:rPr/>
            </w:pPr>
            <w:r>
              <w:rPr/>
              <w:t> </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62" w:type="dxa"/>
            <w:tcBorders/>
            <w:shd w:fill="CCEEFF" w:val="clear"/>
            <w:tcMar>
              <w:bottom w:w="0" w:type="dxa"/>
            </w:tcMar>
            <w:vAlign w:val="center"/>
          </w:tcPr>
          <w:p>
            <w:pPr>
              <w:pStyle w:val="TableContents"/>
              <w:bidi w:val="0"/>
              <w:spacing w:before="0" w:after="283"/>
              <w:jc w:val="right"/>
              <w:rPr/>
            </w:pPr>
            <w:r>
              <w:rPr/>
              <w:t>522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62" w:type="dxa"/>
            <w:tcBorders/>
            <w:shd w:fill="FFFFFF" w:val="clear"/>
            <w:tcMar>
              <w:bottom w:w="0" w:type="dxa"/>
            </w:tcMar>
            <w:vAlign w:val="center"/>
          </w:tcPr>
          <w:p>
            <w:pPr>
              <w:pStyle w:val="TableContents"/>
              <w:bidi w:val="0"/>
              <w:spacing w:before="0" w:after="283"/>
              <w:jc w:val="right"/>
              <w:rPr/>
            </w:pPr>
            <w:r>
              <w:rPr/>
              <w:t>362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62" w:type="dxa"/>
            <w:tcBorders>
              <w:bottom w:val="single" w:sz="12" w:space="0" w:color="000000"/>
            </w:tcBorders>
            <w:shd w:fill="CCEEFF" w:val="clear"/>
            <w:vAlign w:val="center"/>
          </w:tcPr>
          <w:p>
            <w:pPr>
              <w:pStyle w:val="TableContents"/>
              <w:bidi w:val="0"/>
              <w:spacing w:before="0" w:after="283"/>
              <w:jc w:val="right"/>
              <w:rPr/>
            </w:pPr>
            <w:r>
              <w:rPr/>
              <w:t>208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62" w:type="dxa"/>
            <w:tcBorders/>
            <w:shd w:fill="FFFFFF" w:val="clear"/>
            <w:tcMar>
              <w:bottom w:w="0" w:type="dxa"/>
            </w:tcMar>
            <w:vAlign w:val="center"/>
          </w:tcPr>
          <w:p>
            <w:pPr>
              <w:pStyle w:val="TableContents"/>
              <w:bidi w:val="0"/>
              <w:spacing w:before="0" w:after="283"/>
              <w:jc w:val="right"/>
              <w:rPr/>
            </w:pPr>
            <w:r>
              <w:rPr/>
              <w:t>1092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62" w:type="dxa"/>
            <w:tcBorders>
              <w:bottom w:val="single" w:sz="12" w:space="0" w:color="000000"/>
            </w:tcBorders>
            <w:shd w:fill="CCEEFF" w:val="clear"/>
            <w:vAlign w:val="center"/>
          </w:tcPr>
          <w:p>
            <w:pPr>
              <w:pStyle w:val="TableContents"/>
              <w:bidi w:val="0"/>
              <w:spacing w:before="0" w:after="283"/>
              <w:jc w:val="right"/>
              <w:rPr/>
            </w:pPr>
            <w:r>
              <w:rPr/>
              <w:t>56</w:t>
            </w:r>
          </w:p>
        </w:tc>
        <w:tc>
          <w:tcPr>
            <w:tcW w:w="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710"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pPr>
            <w:r>
              <w:rPr/>
              <w:t> </w:t>
            </w:r>
          </w:p>
        </w:tc>
        <w:tc>
          <w:tcPr>
            <w:tcW w:w="1562" w:type="dxa"/>
            <w:tcBorders>
              <w:bottom w:val="double" w:sz="10" w:space="0" w:color="000000"/>
            </w:tcBorders>
            <w:shd w:fill="FFFFFF" w:val="clear"/>
            <w:vAlign w:val="center"/>
          </w:tcPr>
          <w:p>
            <w:pPr>
              <w:pStyle w:val="TableContents"/>
              <w:bidi w:val="0"/>
              <w:spacing w:before="0" w:after="283"/>
              <w:jc w:val="right"/>
              <w:rPr/>
            </w:pPr>
            <w:r>
              <w:rPr/>
              <w:t>1,036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Fangzhen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2024, Huazhi Future entered into an equity transfer agreement with Mr. Qiang Wang, who is the sole shareholder of Chongqing Fangzhen. Pursuant to the agreement, the Seller transferred 100% of the equity interests in Chongqing Fangzhen to Huazhi Future. As consideration for the Fangzhen Acquisition, Huazhi Future paid a total cash consideration of RMB23 to the Seller. The management determined that August 22, 2024 was the acquisition date of Chongqing Fangzhen.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accounted for in accordance with the provisions of ASC 805-10, Business Combinations. The Company retained independent appraisers to advise management in the determination of the fair value of the various assets acquired and liabilities assumed. The values assigned in these financial statements represent management’s best estimate of fair values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ASC 805-20, Business Combinations—Identifiable Assets and Liabilities, and Any Non-controlling Interest, management conducted a review to reassess whether they identified all the assets acquired and all the liabilities assumed, and followed ASC 805-20’s measurement procedures for recognition of the fair value of net assets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the purchase price over the aggregate fair value of assets acquired was allocated to goodwill, which amounted to RMB23. The results of operations of Chongqing Fangzhen have been included in the unaudited combined statements of operations and comprehensive loss from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identifiable goodwill acquired and the carrying value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2885"/>
        <w:gridCol w:w="60"/>
        <w:gridCol w:w="265"/>
        <w:gridCol w:w="1149"/>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Less: impairment for goodwill</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2885" w:type="dxa"/>
            <w:tcBorders/>
            <w:shd w:fill="CCEEFF" w:val="clear"/>
            <w:vAlign w:val="center"/>
          </w:tcPr>
          <w:p>
            <w:pPr>
              <w:pStyle w:val="TableContents"/>
              <w:bidi w:val="0"/>
              <w:spacing w:before="0" w:after="283"/>
              <w:jc w:val="both"/>
              <w:rPr/>
            </w:pPr>
            <w:r>
              <w:rPr/>
              <w:t>Goodwill, net</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allocation of estimated fair values of net assets acquired and liabilities assumed:</w:t>
      </w:r>
    </w:p>
    <w:p>
      <w:pPr>
        <w:pStyle w:val="TextBody"/>
        <w:bidi w:val="0"/>
        <w:spacing w:before="0" w:after="0"/>
        <w:ind w:left="0" w:right="0" w:hanging="0"/>
        <w:jc w:val="both"/>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3575"/>
        <w:gridCol w:w="60"/>
        <w:gridCol w:w="110"/>
        <w:gridCol w:w="480"/>
        <w:gridCol w:w="110"/>
      </w:tblGrid>
      <w:tr>
        <w:trPr/>
        <w:tc>
          <w:tcPr>
            <w:tcW w:w="35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both"/>
              <w:rPr/>
            </w:pPr>
            <w:r>
              <w:rPr/>
              <w:t>Total purchase price for acquisition</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double" w:sz="10" w:space="0" w:color="000000"/>
            </w:tcBorders>
            <w:shd w:fill="FFFFFF" w:val="clear"/>
            <w:tcMar>
              <w:bottom w:w="28" w:type="dxa"/>
            </w:tcM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805-10, acquisition-related costs (i.e., advisory, legal, valuation and other professional fees) are not included as a component of consideration transferred, but are expensed in the periods in which the costs are incurred. Acquisition-related costs were RMB nil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the operating results of Chongqing Fangzhen in its unaudited combined financial statements since the Acquisition Date. RMB3,544 in net sales and RMB421 in net loss of Chongqing Fangzhen were included in the unaudited combined financial statements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Infinite Firepower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2025, Huazhi Future entered into an equity transfer agreement with Hangzhou Infinite Firepower and the seller of Hangzhou Infinite Firepower, pursuant to which Huazhi Future would acquire 67.5% of the equity interests in Hangzhou Infinite Firepower. As consideration for the Infinite Firepower Acquisition, Huazhi Future paid total cash consideration of RMB3,000 to the seller. The management determined that March 19, 2025 was the acquisition date of Hangzhou Infinite Firepower.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accounted for in accordance with the provisions of ASC 805-10, Business Combinations. The Company retained independent appraisers to advise management in the determination of the fair value of the various assets acquired and liabilities assumed. The values assigned in these financial statements represent management’s best estimate of fair values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ASC 805-20, Business Combinations—Identifiable Assets and Liabilities, and Any Non-controlling Interest, management conducted a review to reassess whether they identified all the assets acquired and all the liabilities assumed, and followed ASC 805-20’s measurement procedures for recognition of the fair value of net assets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the purchase price over the aggregate fair value of assets acquired was allocated to goodwill, which amounted to RMB13,478. The results of operations of Hangzhou Infinite Firepower have been included in the unaudited combined statements of operations and comprehensive loss from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identifiable goodwill acquired and the carrying value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2885"/>
        <w:gridCol w:w="60"/>
        <w:gridCol w:w="113"/>
        <w:gridCol w:w="1301"/>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13,478</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Less: impairment for goodwill</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13,478</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2885" w:type="dxa"/>
            <w:tcBorders/>
            <w:shd w:fill="CCEEFF" w:val="clear"/>
            <w:vAlign w:val="center"/>
          </w:tcPr>
          <w:p>
            <w:pPr>
              <w:pStyle w:val="TableContents"/>
              <w:bidi w:val="0"/>
              <w:spacing w:before="0" w:after="283"/>
              <w:jc w:val="both"/>
              <w:rPr/>
            </w:pPr>
            <w:r>
              <w:rPr/>
              <w:t>Goodwill, net</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allocation of estimated fair values of net assets acquired and liabilities assumed:</w:t>
      </w:r>
    </w:p>
    <w:p>
      <w:pPr>
        <w:pStyle w:val="TextBody"/>
        <w:bidi w:val="0"/>
        <w:spacing w:before="0" w:after="0"/>
        <w:ind w:left="0" w:right="0" w:hanging="0"/>
        <w:jc w:val="both"/>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4295"/>
        <w:gridCol w:w="60"/>
        <w:gridCol w:w="60"/>
        <w:gridCol w:w="755"/>
        <w:gridCol w:w="110"/>
      </w:tblGrid>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3,776</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Advance to suppliers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6,340</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13,478</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(25,639</w:t>
            </w:r>
          </w:p>
        </w:tc>
        <w:tc>
          <w:tcPr>
            <w:tcW w:w="11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both"/>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5,045</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purchase price for acquisition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3,000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805-10, acquisition-related costs (i.e., advisory, legal, valuation and other professional fees) are not included as a component of consideration transferred, but are expensed in the periods in which the costs are incurred. Acquisition-related costs were RMB nil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the operating results of Hangzhou Infinite Firepower in its unaudited combined financial statements since the Acquisition Date. RMB155 in net sales and RMB1,812 in net loss of Hangzhou Infinite Firepower were included in the unaudited combined financial statements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Huazhixing entered into a series of contractual arrangements, or VIE agreements, with Huazhi Future and the equity holders of Huazhi Future. The key terms of these VIE Agreements are summarized in Note 1 – Organization and Business Description above. Pursuant to the VIE Agreements, the Company accounts for Huazhi Future as a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Company’s legal counsel, based on PRC laws and regulations in effect during the relevant period: (i) the historical ownership structure relating to the combined VIE of the Company was in compliance with PRC laws and regulations; (ii) the contractual arrangements with the combined VIE and the individual shareholders were legal, valid and binding obligations of such parties, and enforceable against such party in accordance with their respective terms; and (iii) the execution, delivery and performance of the combined VIE and its shareholders did not result in any violation of the provisions of the articles of association and business licenses of the VIE, and any violation of any PRC laws and regulations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the PRC legal system could cause the Company’s historical corporate structure to be found in violation of PRC laws or regulations on a retrospective basis. This could have limited the Company’s ability, through the Primary Beneficiary, to enforce its rights under these contractual arrangements while they were in effect. Furthermore, the shareholders of the combined VIE could have had interests that were different from those of the Company, which could have increased the risk that the shareholders would have sought to breach the existing terms of the aforementioned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historical structure or any of the contractual arrangements were to be found to be in violation of any existing or future PRC laws, the Company may be subject to penalties, which may include but not be limited to fines or other sanctions. The imposition of any such penalties could have a material adverse effect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below is the information related to the combined VIE, including total assets, total current liabilities, total liabilities, net revenues, total operating costs and expenses, net loss and cash flows after intercompany elimination:</w:t>
      </w:r>
    </w:p>
    <w:p>
      <w:pPr>
        <w:pStyle w:val="TextBody"/>
        <w:bidi w:val="0"/>
        <w:spacing w:before="0" w:after="0"/>
        <w:ind w:left="0" w:right="0" w:hanging="0"/>
        <w:jc w:val="both"/>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2150"/>
        <w:gridCol w:w="60"/>
        <w:gridCol w:w="98"/>
        <w:gridCol w:w="1316"/>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123,890</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257,664</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263,163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9" w:type="dxa"/>
        <w:jc w:val="left"/>
        <w:tblInd w:w="0" w:type="dxa"/>
        <w:tblLayout w:type="fixed"/>
        <w:tblCellMar>
          <w:top w:w="0" w:type="dxa"/>
          <w:left w:w="0" w:type="dxa"/>
          <w:bottom w:w="0" w:type="dxa"/>
          <w:right w:w="0" w:type="dxa"/>
        </w:tblCellMar>
      </w:tblPr>
      <w:tblGrid>
        <w:gridCol w:w="3425"/>
        <w:gridCol w:w="60"/>
        <w:gridCol w:w="103"/>
        <w:gridCol w:w="1311"/>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w:t>
              <w:br/>
              <w:t>Ended,</w:t>
              <w:br/>
              <w:t>December 31,</w:t>
              <w:br/>
              <w:t>2025</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86,039</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(85,795</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(14,775</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(72,634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Shor-term borrowings include short-term borrowings from banks and short-term borrowings from third parties as the following:</w:t>
      </w:r>
    </w:p>
    <w:p>
      <w:pPr>
        <w:pStyle w:val="TextBody"/>
        <w:bidi w:val="0"/>
        <w:spacing w:before="0" w:after="0"/>
        <w:ind w:left="0" w:right="0" w:hanging="0"/>
        <w:jc w:val="both"/>
        <w:rPr>
          <w:caps w:val="false"/>
          <w:smallCaps w:val="false"/>
        </w:rPr>
      </w:pPr>
      <w:r>
        <w:rPr>
          <w:caps w:val="false"/>
          <w:smallCaps w:val="false"/>
        </w:rPr>
        <w:t> </w:t>
      </w:r>
    </w:p>
    <w:tbl>
      <w:tblPr>
        <w:tblW w:w="5969" w:type="dxa"/>
        <w:jc w:val="left"/>
        <w:tblInd w:w="0" w:type="dxa"/>
        <w:tblLayout w:type="fixed"/>
        <w:tblCellMar>
          <w:top w:w="0" w:type="dxa"/>
          <w:left w:w="0" w:type="dxa"/>
          <w:bottom w:w="0" w:type="dxa"/>
          <w:right w:w="0" w:type="dxa"/>
        </w:tblCellMar>
      </w:tblPr>
      <w:tblGrid>
        <w:gridCol w:w="3860"/>
        <w:gridCol w:w="60"/>
        <w:gridCol w:w="500"/>
        <w:gridCol w:w="60"/>
        <w:gridCol w:w="97"/>
        <w:gridCol w:w="1317"/>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Short-term borrowings from banks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28,800</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Short-term borrowings from third parties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shd w:fill="FFFFFF" w:val="clear"/>
            <w:tcMar>
              <w:bottom w:w="28" w:type="dxa"/>
            </w:tcMar>
            <w:vAlign w:val="center"/>
          </w:tcPr>
          <w:p>
            <w:pPr>
              <w:pStyle w:val="TableContents"/>
              <w:bidi w:val="0"/>
              <w:spacing w:before="0" w:after="283"/>
              <w:jc w:val="right"/>
              <w:rPr/>
            </w:pPr>
            <w:r>
              <w:rPr/>
              <w:t>155,807</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Total short-term borrowings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10" w:space="0" w:color="000000"/>
            </w:tcBorders>
            <w:shd w:fill="CCEEFF" w:val="clear"/>
            <w:tcMar>
              <w:bottom w:w="28" w:type="dxa"/>
            </w:tcMar>
            <w:vAlign w:val="center"/>
          </w:tcPr>
          <w:p>
            <w:pPr>
              <w:pStyle w:val="TableContents"/>
              <w:bidi w:val="0"/>
              <w:spacing w:before="0" w:after="283"/>
              <w:jc w:val="right"/>
              <w:rPr/>
            </w:pPr>
            <w:r>
              <w:rPr/>
              <w:t>184,607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w:t>
      </w:r>
      <w:r>
        <w:rPr>
          <w:rFonts w:ascii="Times New Roman;Times;Serif" w:hAnsi="Times New Roman;Times;Serif"/>
          <w:b/>
          <w:i/>
          <w:caps w:val="false"/>
          <w:smallCaps w:val="false"/>
          <w:sz w:val="20"/>
          <w:u w:val="single"/>
        </w:rPr>
        <w:t>Short-term borrowings from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from banks consisted of the following:</w:t>
      </w:r>
    </w:p>
    <w:tbl>
      <w:tblPr>
        <w:tblW w:w="8958" w:type="dxa"/>
        <w:jc w:val="left"/>
        <w:tblInd w:w="0" w:type="dxa"/>
        <w:tblLayout w:type="fixed"/>
        <w:tblCellMar>
          <w:top w:w="0" w:type="dxa"/>
          <w:left w:w="0" w:type="dxa"/>
          <w:bottom w:w="28" w:type="dxa"/>
          <w:right w:w="0" w:type="dxa"/>
        </w:tblCellMar>
      </w:tblPr>
      <w:tblGrid>
        <w:gridCol w:w="3995"/>
        <w:gridCol w:w="60"/>
        <w:gridCol w:w="1895"/>
        <w:gridCol w:w="60"/>
        <w:gridCol w:w="82"/>
        <w:gridCol w:w="1257"/>
        <w:gridCol w:w="60"/>
        <w:gridCol w:w="60"/>
        <w:gridCol w:w="114"/>
        <w:gridCol w:w="1300"/>
        <w:gridCol w:w="75"/>
      </w:tblGrid>
      <w:tr>
        <w:trPr/>
        <w:tc>
          <w:tcPr>
            <w:tcW w:w="3995" w:type="dxa"/>
            <w:tcBorders>
              <w:bottom w:val="single" w:sz="12"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Interest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As of</w:t>
              <w:b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both"/>
              <w:rPr/>
            </w:pPr>
            <w:r>
              <w:rPr/>
              <w:t>Bank of China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December 25,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6,000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both"/>
              <w:rPr/>
            </w:pPr>
            <w:r>
              <w:rPr/>
              <w:t>Agricultural Bank of China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January 23,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257" w:type="dxa"/>
            <w:tcBorders/>
            <w:shd w:fill="FFFFFF" w:val="clear"/>
            <w:tcMar>
              <w:bottom w:w="0" w:type="dxa"/>
            </w:tcMar>
            <w:vAlign w:val="center"/>
          </w:tcPr>
          <w:p>
            <w:pPr>
              <w:pStyle w:val="TableContents"/>
              <w:bidi w:val="0"/>
              <w:spacing w:before="0" w:after="283"/>
              <w:jc w:val="center"/>
              <w:rPr/>
            </w:pPr>
            <w:r>
              <w:rPr/>
              <w:t>2.55%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pPr>
            <w:r>
              <w:rPr/>
              <w:t>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both"/>
              <w:rPr/>
            </w:pPr>
            <w:r>
              <w:rPr/>
              <w:t>Bank of Chongqing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February 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center"/>
              <w:rPr/>
            </w:pPr>
            <w:r>
              <w:rPr/>
              <w:t>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both"/>
              <w:rPr/>
            </w:pPr>
            <w:r>
              <w:rPr/>
              <w:t>Shanghai Pudong Development Bank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June 24,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257" w:type="dxa"/>
            <w:tcBorders/>
            <w:shd w:fill="FFFFFF" w:val="clear"/>
            <w:tcMar>
              <w:bottom w:w="0" w:type="dxa"/>
            </w:tcMar>
            <w:vAlign w:val="center"/>
          </w:tcPr>
          <w:p>
            <w:pPr>
              <w:pStyle w:val="TableContents"/>
              <w:bidi w:val="0"/>
              <w:spacing w:before="0" w:after="283"/>
              <w:jc w:val="center"/>
              <w:rPr/>
            </w:pPr>
            <w:r>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pPr>
            <w:r>
              <w:rPr/>
              <w:t>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both"/>
              <w:rPr/>
            </w:pPr>
            <w:r>
              <w:rPr/>
              <w:t>Industrial and Commercial Bank of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December 8,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4,800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both"/>
              <w:rPr/>
            </w:pPr>
            <w:r>
              <w:rPr/>
              <w:t>Postal Savings Bank of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June 2,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257" w:type="dxa"/>
            <w:tcBorders/>
            <w:shd w:fill="FFFFFF" w:val="clear"/>
            <w:tcMar>
              <w:bottom w:w="0" w:type="dxa"/>
            </w:tcMar>
            <w:vAlign w:val="center"/>
          </w:tcPr>
          <w:p>
            <w:pPr>
              <w:pStyle w:val="TableContents"/>
              <w:bidi w:val="0"/>
              <w:spacing w:before="0" w:after="283"/>
              <w:jc w:val="center"/>
              <w:rPr/>
            </w:pPr>
            <w:r>
              <w:rPr/>
              <w:t>3.21%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300" w:type="dxa"/>
            <w:tcBorders>
              <w:bottom w:val="single" w:sz="12" w:space="0" w:color="000000"/>
            </w:tcBorders>
            <w:shd w:fill="FFFFFF" w:val="clear"/>
            <w:vAlign w:val="center"/>
          </w:tcPr>
          <w:p>
            <w:pPr>
              <w:pStyle w:val="TableContents"/>
              <w:bidi w:val="0"/>
              <w:spacing w:before="0" w:after="283"/>
              <w:jc w:val="right"/>
              <w:rPr/>
            </w:pPr>
            <w:r>
              <w:rPr/>
              <w:t>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both"/>
              <w:rPr/>
            </w:pPr>
            <w:r>
              <w:rPr/>
              <w:t>Total short-term borrowings from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double" w:sz="10" w:space="0" w:color="000000"/>
            </w:tcBorders>
            <w:shd w:fill="CCEEFF" w:val="clear"/>
            <w:vAlign w:val="center"/>
          </w:tcPr>
          <w:p>
            <w:pPr>
              <w:pStyle w:val="TableContents"/>
              <w:bidi w:val="0"/>
              <w:spacing w:before="0" w:after="283"/>
              <w:jc w:val="left"/>
              <w:rPr/>
            </w:pPr>
            <w:r>
              <w:rPr/>
              <w:t> </w:t>
            </w:r>
          </w:p>
        </w:tc>
        <w:tc>
          <w:tcPr>
            <w:tcW w:w="1300" w:type="dxa"/>
            <w:tcBorders>
              <w:bottom w:val="double" w:sz="10" w:space="0" w:color="000000"/>
            </w:tcBorders>
            <w:shd w:fill="CCEEFF" w:val="clear"/>
            <w:vAlign w:val="center"/>
          </w:tcPr>
          <w:p>
            <w:pPr>
              <w:pStyle w:val="TableContents"/>
              <w:bidi w:val="0"/>
              <w:spacing w:before="0" w:after="283"/>
              <w:jc w:val="right"/>
              <w:rPr/>
            </w:pPr>
            <w:r>
              <w:rPr/>
              <w:t>28,800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40"/>
        <w:gridCol w:w="378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loan has been fully repaid upon maturity.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short-term borrowings from banks were guaranteed by the following entities or individuals: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Guaranteed by Mr. Zhifeng Li, the controlling shareholder of the Company.</w:t>
            </w:r>
          </w:p>
        </w:tc>
      </w:tr>
      <w:tr>
        <w:trPr/>
        <w:tc>
          <w:tcPr>
            <w:tcW w:w="227" w:type="dxa"/>
            <w:tcBorders/>
            <w:vAlign w:val="center"/>
          </w:tcPr>
          <w:p>
            <w:pPr>
              <w:pStyle w:val="TableContents"/>
              <w:bidi w:val="0"/>
              <w:spacing w:before="0" w:after="283"/>
              <w:jc w:val="both"/>
              <w:rPr/>
            </w:pPr>
            <w:r>
              <w:rPr/>
              <w:t> </w:t>
            </w:r>
          </w:p>
        </w:tc>
        <w:tc>
          <w:tcPr>
            <w:tcW w:w="9978" w:type="dxa"/>
            <w:tcBorders/>
            <w:vAlign w:val="center"/>
          </w:tcPr>
          <w:p>
            <w:pPr>
              <w:pStyle w:val="TableContents"/>
              <w:bidi w:val="0"/>
              <w:spacing w:before="0" w:after="283"/>
              <w:jc w:val="both"/>
              <w:rPr/>
            </w:pPr>
            <w:r>
              <w:rPr/>
              <w:t> </w:t>
            </w:r>
          </w:p>
        </w:tc>
      </w:tr>
      <w:tr>
        <w:trPr/>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Guaranteed by Mr. Zhifeng Li, Chongqing Qianhongfulong Technology Co., Ltd., and Chongqing Xingdun Quantum Application Technology Research Institute Co., Ltd., the latter two of which were shareholders at the relevant time.</w:t>
            </w:r>
          </w:p>
        </w:tc>
      </w:tr>
      <w:tr>
        <w:trPr/>
        <w:tc>
          <w:tcPr>
            <w:tcW w:w="227" w:type="dxa"/>
            <w:tcBorders/>
            <w:vAlign w:val="center"/>
          </w:tcPr>
          <w:p>
            <w:pPr>
              <w:pStyle w:val="TableContents"/>
              <w:bidi w:val="0"/>
              <w:spacing w:before="0" w:after="283"/>
              <w:jc w:val="both"/>
              <w:rPr/>
            </w:pPr>
            <w:r>
              <w:rPr/>
              <w:t> </w:t>
            </w:r>
          </w:p>
        </w:tc>
        <w:tc>
          <w:tcPr>
            <w:tcW w:w="9978" w:type="dxa"/>
            <w:tcBorders/>
            <w:vAlign w:val="center"/>
          </w:tcPr>
          <w:p>
            <w:pPr>
              <w:pStyle w:val="TableContents"/>
              <w:bidi w:val="0"/>
              <w:spacing w:before="0" w:after="283"/>
              <w:jc w:val="both"/>
              <w:rPr/>
            </w:pPr>
            <w:r>
              <w:rPr/>
              <w:t> </w:t>
            </w:r>
          </w:p>
        </w:tc>
      </w:tr>
      <w:tr>
        <w:trPr/>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Guaranteed by Mr. Zhifeng Li. The Company was required to make payment of RMB500 on March 20, 2026, with the remaining balance of RMB4,500 due on the loan maturity date. As of date of this report, the loan has been repaid as scheduled.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 Short-term borrowings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from third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28"/>
        <w:gridCol w:w="60"/>
        <w:gridCol w:w="2689"/>
        <w:gridCol w:w="60"/>
        <w:gridCol w:w="69"/>
        <w:gridCol w:w="1221"/>
        <w:gridCol w:w="60"/>
        <w:gridCol w:w="60"/>
        <w:gridCol w:w="94"/>
        <w:gridCol w:w="1286"/>
        <w:gridCol w:w="78"/>
      </w:tblGrid>
      <w:tr>
        <w:trPr/>
        <w:tc>
          <w:tcPr>
            <w:tcW w:w="4528" w:type="dxa"/>
            <w:tcBorders>
              <w:bottom w:val="single" w:sz="12"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2689" w:type="dxa"/>
            <w:tcBorders>
              <w:bottom w:val="single" w:sz="12"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290" w:type="dxa"/>
            <w:gridSpan w:val="2"/>
            <w:tcBorders>
              <w:bottom w:val="single" w:sz="12" w:space="0" w:color="000000"/>
            </w:tcBorders>
            <w:vAlign w:val="center"/>
          </w:tcPr>
          <w:p>
            <w:pPr>
              <w:pStyle w:val="TableContents"/>
              <w:bidi w:val="0"/>
              <w:spacing w:before="0" w:after="283"/>
              <w:jc w:val="center"/>
              <w:rPr>
                <w:b/>
              </w:rPr>
            </w:pPr>
            <w:r>
              <w:rPr>
                <w:b/>
              </w:rPr>
              <w:t>Interest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0" w:type="dxa"/>
            <w:gridSpan w:val="2"/>
            <w:tcBorders>
              <w:bottom w:val="single" w:sz="12" w:space="0" w:color="000000"/>
            </w:tcBorders>
            <w:vAlign w:val="center"/>
          </w:tcPr>
          <w:p>
            <w:pPr>
              <w:pStyle w:val="TableContents"/>
              <w:bidi w:val="0"/>
              <w:spacing w:before="0" w:after="283"/>
              <w:jc w:val="center"/>
              <w:rPr>
                <w:b/>
              </w:rPr>
            </w:pPr>
            <w:r>
              <w:rPr>
                <w:b/>
              </w:rPr>
              <w:t>As of</w:t>
              <w:br/>
              <w:t>December 31,</w:t>
              <w:br/>
              <w:t>2025</w:t>
            </w:r>
          </w:p>
        </w:tc>
        <w:tc>
          <w:tcPr>
            <w:tcW w:w="78" w:type="dxa"/>
            <w:tcBorders/>
            <w:tcMar>
              <w:bottom w:w="0" w:type="dxa"/>
            </w:tcMar>
            <w:vAlign w:val="center"/>
          </w:tcPr>
          <w:p>
            <w:pPr>
              <w:pStyle w:val="TableContents"/>
              <w:bidi w:val="0"/>
              <w:spacing w:before="0" w:after="283"/>
              <w:jc w:val="left"/>
              <w:rPr/>
            </w:pPr>
            <w:r>
              <w:rPr/>
              <w:t> </w:t>
            </w:r>
          </w:p>
        </w:tc>
      </w:tr>
      <w:tr>
        <w:trPr/>
        <w:tc>
          <w:tcPr>
            <w:tcW w:w="45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0" w:type="dxa"/>
            <w:gridSpan w:val="2"/>
            <w:tcBorders/>
            <w:tcMar>
              <w:bottom w:w="0" w:type="dxa"/>
            </w:tcMar>
            <w:vAlign w:val="center"/>
          </w:tcPr>
          <w:p>
            <w:pPr>
              <w:pStyle w:val="TableContents"/>
              <w:bidi w:val="0"/>
              <w:spacing w:before="0" w:after="283"/>
              <w:jc w:val="center"/>
              <w:rPr>
                <w:b/>
              </w:rPr>
            </w:pPr>
            <w:r>
              <w:rPr>
                <w:b/>
              </w:rPr>
              <w:t>RMB</w:t>
            </w:r>
          </w:p>
        </w:tc>
        <w:tc>
          <w:tcPr>
            <w:tcW w:w="78" w:type="dxa"/>
            <w:tcBorders/>
            <w:tcMar>
              <w:bottom w:w="0" w:type="dxa"/>
            </w:tcMar>
            <w:vAlign w:val="center"/>
          </w:tcPr>
          <w:p>
            <w:pPr>
              <w:pStyle w:val="TableContents"/>
              <w:bidi w:val="0"/>
              <w:spacing w:before="0" w:after="283"/>
              <w:jc w:val="left"/>
              <w:rPr/>
            </w:pPr>
            <w:r>
              <w:rPr/>
              <w:t> </w:t>
            </w:r>
          </w:p>
        </w:tc>
      </w:tr>
      <w:tr>
        <w:trPr/>
        <w:tc>
          <w:tcPr>
            <w:tcW w:w="4528" w:type="dxa"/>
            <w:tcBorders/>
            <w:shd w:fill="CCEEFF" w:val="clear"/>
            <w:tcMar>
              <w:bottom w:w="0" w:type="dxa"/>
            </w:tcMar>
            <w:vAlign w:val="center"/>
          </w:tcPr>
          <w:p>
            <w:pPr>
              <w:pStyle w:val="TableContents"/>
              <w:bidi w:val="0"/>
              <w:spacing w:before="0" w:after="283"/>
              <w:jc w:val="left"/>
              <w:rPr/>
            </w:pPr>
            <w:r>
              <w:rPr/>
              <w:t>Zhihuitong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89" w:type="dxa"/>
            <w:tcBorders/>
            <w:shd w:fill="CCEEFF" w:val="clear"/>
            <w:tcMar>
              <w:bottom w:w="0" w:type="dxa"/>
            </w:tcMar>
            <w:vAlign w:val="center"/>
          </w:tcPr>
          <w:p>
            <w:pPr>
              <w:pStyle w:val="TableContents"/>
              <w:bidi w:val="0"/>
              <w:spacing w:before="0" w:after="283"/>
              <w:jc w:val="center"/>
              <w:rPr/>
            </w:pPr>
            <w:r>
              <w:rPr/>
              <w:t>May 31,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25,797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528" w:type="dxa"/>
            <w:tcBorders/>
            <w:shd w:fill="FFFFFF" w:val="clear"/>
            <w:tcMar>
              <w:bottom w:w="0" w:type="dxa"/>
            </w:tcMar>
            <w:vAlign w:val="center"/>
          </w:tcPr>
          <w:p>
            <w:pPr>
              <w:pStyle w:val="TableContents"/>
              <w:bidi w:val="0"/>
              <w:spacing w:before="0" w:after="283"/>
              <w:jc w:val="left"/>
              <w:rPr/>
            </w:pPr>
            <w:r>
              <w:rPr/>
              <w:t>Shandong Xinyuan Asset Liquidation Co., Ltd.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9" w:type="dxa"/>
            <w:tcBorders/>
            <w:shd w:fill="FFFFFF" w:val="clear"/>
            <w:tcMar>
              <w:bottom w:w="0" w:type="dxa"/>
            </w:tcMar>
            <w:vAlign w:val="center"/>
          </w:tcPr>
          <w:p>
            <w:pPr>
              <w:pStyle w:val="TableContents"/>
              <w:bidi w:val="0"/>
              <w:spacing w:before="0" w:after="283"/>
              <w:jc w:val="center"/>
              <w:rPr/>
            </w:pPr>
            <w:r>
              <w:rPr/>
              <w:t>September 30,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120,460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528" w:type="dxa"/>
            <w:tcBorders/>
            <w:shd w:fill="CCEEFF" w:val="clear"/>
            <w:tcMar>
              <w:bottom w:w="0" w:type="dxa"/>
            </w:tcMar>
            <w:vAlign w:val="center"/>
          </w:tcPr>
          <w:p>
            <w:pPr>
              <w:pStyle w:val="TableContents"/>
              <w:bidi w:val="0"/>
              <w:spacing w:before="0" w:after="283"/>
              <w:jc w:val="left"/>
              <w:rPr/>
            </w:pPr>
            <w:r>
              <w:rPr/>
              <w:t>Several individuals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89" w:type="dxa"/>
            <w:tcBorders/>
            <w:shd w:fill="CCEEFF" w:val="clear"/>
            <w:tcMar>
              <w:bottom w:w="0" w:type="dxa"/>
            </w:tcMar>
            <w:vAlign w:val="center"/>
          </w:tcPr>
          <w:p>
            <w:pPr>
              <w:pStyle w:val="TableContents"/>
              <w:bidi w:val="0"/>
              <w:spacing w:before="0" w:after="283"/>
              <w:jc w:val="center"/>
              <w:rPr/>
            </w:pPr>
            <w:r>
              <w:rPr/>
              <w:t>March 2026- September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6.8%-9.5%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1286" w:type="dxa"/>
            <w:tcBorders>
              <w:bottom w:val="single" w:sz="12" w:space="0" w:color="000000"/>
            </w:tcBorders>
            <w:shd w:fill="CCEEFF" w:val="clear"/>
            <w:vAlign w:val="center"/>
          </w:tcPr>
          <w:p>
            <w:pPr>
              <w:pStyle w:val="TableContents"/>
              <w:bidi w:val="0"/>
              <w:spacing w:before="0" w:after="283"/>
              <w:jc w:val="right"/>
              <w:rPr/>
            </w:pPr>
            <w:r>
              <w:rPr/>
              <w:t>9,550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528" w:type="dxa"/>
            <w:tcBorders/>
            <w:shd w:fill="FFFFFF" w:val="clear"/>
            <w:tcMar>
              <w:bottom w:w="0" w:type="dxa"/>
            </w:tcMar>
            <w:vAlign w:val="center"/>
          </w:tcPr>
          <w:p>
            <w:pPr>
              <w:pStyle w:val="TableContents"/>
              <w:bidi w:val="0"/>
              <w:spacing w:before="0" w:after="283"/>
              <w:jc w:val="left"/>
              <w:rPr/>
            </w:pPr>
            <w:r>
              <w:rPr/>
              <w:t>Total short-term borrowings from third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double" w:sz="10" w:space="0" w:color="000000"/>
            </w:tcBorders>
            <w:shd w:fill="FFFFFF" w:val="clear"/>
            <w:vAlign w:val="center"/>
          </w:tcPr>
          <w:p>
            <w:pPr>
              <w:pStyle w:val="TableContents"/>
              <w:bidi w:val="0"/>
              <w:spacing w:before="0" w:after="283"/>
              <w:jc w:val="left"/>
              <w:rPr/>
            </w:pPr>
            <w:r>
              <w:rPr/>
              <w:t> </w:t>
            </w:r>
          </w:p>
        </w:tc>
        <w:tc>
          <w:tcPr>
            <w:tcW w:w="1286" w:type="dxa"/>
            <w:tcBorders>
              <w:bottom w:val="double" w:sz="10" w:space="0" w:color="000000"/>
            </w:tcBorders>
            <w:shd w:fill="FFFFFF" w:val="clear"/>
            <w:vAlign w:val="center"/>
          </w:tcPr>
          <w:p>
            <w:pPr>
              <w:pStyle w:val="TableContents"/>
              <w:bidi w:val="0"/>
              <w:spacing w:before="0" w:after="283"/>
              <w:jc w:val="right"/>
              <w:rPr/>
            </w:pPr>
            <w:r>
              <w:rPr/>
              <w:t>155,807</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pPr>
            <w:r>
              <w:rPr/>
              <w:t xml:space="preserve">On October 31, 2022, Huazhi Future entered into a fund financing cooperation agreement with Zhihuitong. Under the agreement, Huazhi Future was granted a revolving credit facility with a maximum aggregate financing limit of RMB 300,000, valid from November 1, 2022 to October 30, 2025. The credit limit is revolving in nature, and the available limit will be automatically reinstated upon full repayment of the outstanding principal and accrued interest. The borrowings bear a fixed interest rate of 8.5% per annum. Huazhi Future may prepay part or all of the outstanding principal at any time without any prepayment penalty. </w:t>
              <w:br/>
              <w:br/>
              <w:t>On June 1, 2024, Huarong Future entered into another fund financing cooperation agreement with Zhihuitong, pursuant to which, Huarong Future was granted a revolving credit facility with a maximum aggregate financing limit of RMB 500,000, valid from June 1, 2024 to May 31, 2027. The credit limit is revolving in nature, and the available limit will be automatically reinstated upon full repayment of the outstanding principal and accrued interest. The borrowing bears a fixed interest rate of 8.5% per annum. Huarong Future may prepay part or all of the outstanding principal at any time without any prepayment penalty.</w:t>
            </w:r>
          </w:p>
        </w:tc>
      </w:tr>
      <w:tr>
        <w:trPr/>
        <w:tc>
          <w:tcPr>
            <w:tcW w:w="208"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30, 2025, Huarong Future entered into a fund financing cooperation agreement with a third party, Shandong Xinyuan Asset Liquidation Co., Ltd. (“Xinyuan”). Under the agreement, Huarong Future was granted a revolving credit facility with a maximum aggregate financing limit of RMB500,000, valid from October 1, 2025 to September 30, 2027. The credit limit is revolving in nature, and the available limit will be automatically reinstated upon full repayment of the outstanding principal and accrued interest. The borrowing bears a fixed interest rate of 8.5% per annum. Huarong Future may prepay part or all of the principal at any time without any prepayment penalty.</w:t>
            </w:r>
          </w:p>
        </w:tc>
      </w:tr>
      <w:tr>
        <w:trPr/>
        <w:tc>
          <w:tcPr>
            <w:tcW w:w="208" w:type="dxa"/>
            <w:tcBorders/>
            <w:vAlign w:val="center"/>
          </w:tcPr>
          <w:p>
            <w:pPr>
              <w:pStyle w:val="TableContents"/>
              <w:bidi w:val="0"/>
              <w:spacing w:before="0" w:after="283"/>
              <w:jc w:val="both"/>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period from September 26, 2025 to October 1, 2025, Huarong Future entered into a series of loan agreements with certain individuals. The interest rates on the loans ranged from 6.8% to 9.5% with terms of less than one year between March 29, 2026 and September 30, 2026. The outstanding principal and accrued interest under these borrowings were fully settled through cash payment and offset against other receivables in June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Huarong Future, Huazhi Future, Zhihuitong, Pingxiang Haokai Liquidation Service Co., Ltd. (“Haokai”), Xinyuan, Qianhong Fulong, Yunzhimi, Gongzhang Gongyao and other third-party entities entered into a series of agreements, including debt offsetting, debt assignment and debt-to-equity agreements, to restructure mutual creditors’ rights and liabilities. As of December 31, 2025, prior to the offsetting, the combined short-term borrowings of Huazhi Future and Huarong Future amounted to RMB379,499, of which RMB223,692 had been offset as of that date, reducing the balance to RMB155,807. Following the completion of all offsetting, debt transfer and debt-to-equity arrangements, as of the date of this report, the outstanding borrowing balances of Huazhi Future and Huarong Future to Zhihuitong were further reduced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Long-term borrowing from a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 from a bank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9368" w:type="dxa"/>
        <w:jc w:val="left"/>
        <w:tblInd w:w="0" w:type="dxa"/>
        <w:tblLayout w:type="fixed"/>
        <w:tblCellMar>
          <w:top w:w="0" w:type="dxa"/>
          <w:left w:w="0" w:type="dxa"/>
          <w:bottom w:w="28" w:type="dxa"/>
          <w:right w:w="0" w:type="dxa"/>
        </w:tblCellMar>
      </w:tblPr>
      <w:tblGrid>
        <w:gridCol w:w="4205"/>
        <w:gridCol w:w="60"/>
        <w:gridCol w:w="1355"/>
        <w:gridCol w:w="60"/>
        <w:gridCol w:w="160"/>
        <w:gridCol w:w="1179"/>
        <w:gridCol w:w="215"/>
        <w:gridCol w:w="60"/>
        <w:gridCol w:w="193"/>
        <w:gridCol w:w="1806"/>
        <w:gridCol w:w="75"/>
      </w:tblGrid>
      <w:tr>
        <w:trPr/>
        <w:tc>
          <w:tcPr>
            <w:tcW w:w="4205" w:type="dxa"/>
            <w:tcBorders>
              <w:bottom w:val="single" w:sz="12"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12" w:space="0" w:color="000000"/>
            </w:tcBorders>
            <w:vAlign w:val="center"/>
          </w:tcPr>
          <w:p>
            <w:pPr>
              <w:pStyle w:val="TableContents"/>
              <w:bidi w:val="0"/>
              <w:spacing w:before="0" w:after="283"/>
              <w:jc w:val="center"/>
              <w:rPr>
                <w:b/>
              </w:rPr>
            </w:pPr>
            <w:r>
              <w:rPr>
                <w:b/>
              </w:rPr>
              <w:t>Maturity</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Interest Rate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bottom w:val="single" w:sz="12" w:space="0" w:color="000000"/>
            </w:tcBorders>
            <w:vAlign w:val="center"/>
          </w:tcPr>
          <w:p>
            <w:pPr>
              <w:pStyle w:val="TableContents"/>
              <w:bidi w:val="0"/>
              <w:spacing w:before="0" w:after="283"/>
              <w:jc w:val="center"/>
              <w:rPr>
                <w:b/>
              </w:rPr>
            </w:pPr>
            <w:r>
              <w:rPr>
                <w:b/>
              </w:rPr>
              <w:t>As of 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tcMar>
              <w:bottom w:w="0" w:type="dxa"/>
            </w:tcMar>
            <w:vAlign w:val="center"/>
          </w:tcPr>
          <w:p>
            <w:pPr>
              <w:pStyle w:val="TableContents"/>
              <w:bidi w:val="0"/>
              <w:spacing w:before="0" w:after="283"/>
              <w:jc w:val="both"/>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9"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both"/>
              <w:rPr/>
            </w:pPr>
            <w:r>
              <w:rPr/>
              <w:t>Chongqing Rural Commercial 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pPr>
            <w:r>
              <w:rPr/>
              <w:t>May 29,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r>
              <w:rPr/>
              <w:t>2.95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bottom w:val="single" w:sz="12" w:space="0" w:color="000000"/>
            </w:tcBorders>
            <w:shd w:fill="CCEEFF" w:val="clear"/>
            <w:vAlign w:val="center"/>
          </w:tcPr>
          <w:p>
            <w:pPr>
              <w:pStyle w:val="TableContents"/>
              <w:bidi w:val="0"/>
              <w:spacing w:before="0" w:after="283"/>
              <w:jc w:val="left"/>
              <w:rPr/>
            </w:pPr>
            <w:r>
              <w:rPr/>
              <w:t> </w:t>
            </w:r>
          </w:p>
        </w:tc>
        <w:tc>
          <w:tcPr>
            <w:tcW w:w="1806" w:type="dxa"/>
            <w:tcBorders>
              <w:bottom w:val="single" w:sz="12" w:space="0" w:color="000000"/>
            </w:tcBorders>
            <w:shd w:fill="CCEEFF" w:val="clear"/>
            <w:vAlign w:val="center"/>
          </w:tcPr>
          <w:p>
            <w:pPr>
              <w:pStyle w:val="TableContents"/>
              <w:bidi w:val="0"/>
              <w:spacing w:before="0" w:after="283"/>
              <w:jc w:val="right"/>
              <w:rPr/>
            </w:pPr>
            <w:r>
              <w:rPr/>
              <w:t>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both"/>
              <w:rPr/>
            </w:pPr>
            <w:r>
              <w:rPr/>
              <w:t>Total long-term borrowing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bottom w:val="double" w:sz="10" w:space="0" w:color="000000"/>
            </w:tcBorders>
            <w:shd w:fill="FFFFFF" w:val="clear"/>
            <w:vAlign w:val="center"/>
          </w:tcPr>
          <w:p>
            <w:pPr>
              <w:pStyle w:val="TableContents"/>
              <w:bidi w:val="0"/>
              <w:spacing w:before="0" w:after="283"/>
              <w:jc w:val="left"/>
              <w:rPr/>
            </w:pPr>
            <w:r>
              <w:rPr/>
              <w:t> </w:t>
            </w:r>
          </w:p>
        </w:tc>
        <w:tc>
          <w:tcPr>
            <w:tcW w:w="1806" w:type="dxa"/>
            <w:tcBorders>
              <w:bottom w:val="double" w:sz="10" w:space="0" w:color="000000"/>
            </w:tcBorders>
            <w:shd w:fill="FFFFFF" w:val="clear"/>
            <w:vAlign w:val="center"/>
          </w:tcPr>
          <w:p>
            <w:pPr>
              <w:pStyle w:val="TableContents"/>
              <w:bidi w:val="0"/>
              <w:spacing w:before="0" w:after="283"/>
              <w:jc w:val="right"/>
              <w:rPr/>
            </w:pPr>
            <w:r>
              <w:rPr/>
              <w:t>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80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both"/>
              <w:rPr/>
            </w:pPr>
            <w:r>
              <w:rPr/>
              <w:t>Current portion of long-term borrowing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806" w:type="dxa"/>
            <w:tcBorders/>
            <w:shd w:fill="FFFFFF" w:val="clear"/>
            <w:tcMar>
              <w:bottom w:w="0" w:type="dxa"/>
            </w:tcMar>
            <w:vAlign w:val="center"/>
          </w:tcPr>
          <w:p>
            <w:pPr>
              <w:pStyle w:val="TableContents"/>
              <w:bidi w:val="0"/>
              <w:spacing w:before="0" w:after="283"/>
              <w:jc w:val="right"/>
              <w:rPr/>
            </w:pPr>
            <w:r>
              <w:rPr/>
              <w:t>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79"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p>
        </w:tc>
        <w:tc>
          <w:tcPr>
            <w:tcW w:w="180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both"/>
              <w:rPr/>
            </w:pPr>
            <w:r>
              <w:rPr/>
              <w:t>Non-current portion of long-term borrowing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17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p>
        </w:tc>
        <w:tc>
          <w:tcPr>
            <w:tcW w:w="1806" w:type="dxa"/>
            <w:tcBorders/>
            <w:shd w:fill="FFFFFF" w:val="clear"/>
            <w:tcMar>
              <w:bottom w:w="0" w:type="dxa"/>
            </w:tcMar>
            <w:vAlign w:val="center"/>
          </w:tcPr>
          <w:p>
            <w:pPr>
              <w:pStyle w:val="TableContents"/>
              <w:bidi w:val="0"/>
              <w:spacing w:before="0" w:after="283"/>
              <w:jc w:val="right"/>
              <w:rPr/>
            </w:pPr>
            <w:r>
              <w:rPr/>
              <w:t>4,950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borrowing outstanding was guaranteed by Mr. Zhifeng Li, Chongqing Qianhongfulong Technology Co., Ltd., and Chongqing Xingdun Quantum Application Technology Research Institute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long-term borrowing from a bank as of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28" w:type="dxa"/>
          <w:right w:w="0" w:type="dxa"/>
        </w:tblCellMar>
      </w:tblPr>
      <w:tblGrid>
        <w:gridCol w:w="3785"/>
        <w:gridCol w:w="60"/>
        <w:gridCol w:w="60"/>
        <w:gridCol w:w="560"/>
        <w:gridCol w:w="75"/>
      </w:tblGrid>
      <w:tr>
        <w:trPr/>
        <w:tc>
          <w:tcPr>
            <w:tcW w:w="3785" w:type="dxa"/>
            <w:tcBorders>
              <w:bottom w:val="single" w:sz="12" w:space="0" w:color="000000"/>
            </w:tcBorders>
            <w:vAlign w:val="center"/>
          </w:tcPr>
          <w:p>
            <w:pPr>
              <w:pStyle w:val="TableContents"/>
              <w:bidi w:val="0"/>
              <w:spacing w:before="0" w:after="283"/>
              <w:jc w:val="left"/>
              <w:rPr>
                <w:b/>
              </w:rPr>
            </w:pPr>
            <w:r>
              <w:rPr>
                <w:b/>
              </w:rPr>
              <w:t>Twelve months ending December 31,</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8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560" w:type="dxa"/>
            <w:tcBorders>
              <w:bottom w:val="single" w:sz="12" w:space="0" w:color="000000"/>
            </w:tcBorders>
            <w:shd w:fill="FFFFFF" w:val="clear"/>
            <w:vAlign w:val="center"/>
          </w:tcPr>
          <w:p>
            <w:pPr>
              <w:pStyle w:val="TableContents"/>
              <w:bidi w:val="0"/>
              <w:spacing w:before="0" w:after="283"/>
              <w:jc w:val="right"/>
              <w:rPr/>
            </w:pPr>
            <w:r>
              <w:rPr/>
              <w:t>4,950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85" w:type="dxa"/>
            <w:tcBorders/>
            <w:shd w:fill="CCEEFF" w:val="clear"/>
            <w:tcMar>
              <w:bottom w:w="0" w:type="dxa"/>
            </w:tcMar>
            <w:vAlign w:val="center"/>
          </w:tcPr>
          <w:p>
            <w:pPr>
              <w:pStyle w:val="TableContents"/>
              <w:bidi w:val="0"/>
              <w:spacing w:before="0" w:after="283"/>
              <w:jc w:val="left"/>
              <w:rPr/>
            </w:pPr>
            <w:r>
              <w:rPr/>
              <w:t>Total long-term borrowing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560" w:type="dxa"/>
            <w:tcBorders>
              <w:bottom w:val="double" w:sz="10" w:space="0" w:color="000000"/>
            </w:tcBorders>
            <w:shd w:fill="CCEEFF" w:val="clear"/>
            <w:vAlign w:val="center"/>
          </w:tcPr>
          <w:p>
            <w:pPr>
              <w:pStyle w:val="TableContents"/>
              <w:bidi w:val="0"/>
              <w:spacing w:before="0" w:after="283"/>
              <w:jc w:val="right"/>
              <w:rPr/>
            </w:pPr>
            <w:r>
              <w:rPr/>
              <w:t>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above-mentioned short-term and long-term borrowings, the Company recorded interest expense of RMB15,377 for the six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OTHER PAYABLES AND ACCRUED EXPENSES</w:t>
      </w:r>
    </w:p>
    <w:p>
      <w:pPr>
        <w:pStyle w:val="TextBody"/>
        <w:bidi w:val="0"/>
        <w:spacing w:before="0" w:after="0"/>
        <w:ind w:left="0" w:right="0" w:hanging="0"/>
        <w:jc w:val="both"/>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4070"/>
        <w:gridCol w:w="60"/>
        <w:gridCol w:w="114"/>
        <w:gridCol w:w="1300"/>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Amounts due to third parties (1)</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18,888</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Accrued interest (2)</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10,929</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Agency procurement payables (3)</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16,547</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958</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Security deposit liabilities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70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other payables and accrued expenses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47,402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due to third parties include non-interest-bearing loans from other companies, which are unsecured, interest-free, and classified as current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tri-party offset agreements described in Note 12, accrued interest payable was reduced by RMB1,368 through offset, resulting in a remaining balance of RMB10,929 as of December 31, 2025. As of the date of this report, all accrued interest has subsequently been paid.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Agency procurement payables represent amounts payable to third-party suppliers for goods purchased on behalf of customers under agency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relationships with related parties that had transactions with the Company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61"/>
        <w:gridCol w:w="60"/>
        <w:gridCol w:w="3484"/>
      </w:tblGrid>
      <w:tr>
        <w:trPr/>
        <w:tc>
          <w:tcPr>
            <w:tcW w:w="666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Party</w:t>
            </w:r>
          </w:p>
        </w:tc>
        <w:tc>
          <w:tcPr>
            <w:tcW w:w="60" w:type="dxa"/>
            <w:tcBorders/>
            <w:tcMar>
              <w:bottom w:w="0" w:type="dxa"/>
            </w:tcMar>
            <w:vAlign w:val="center"/>
          </w:tcPr>
          <w:p>
            <w:pPr>
              <w:pStyle w:val="TableContents"/>
              <w:bidi w:val="0"/>
              <w:spacing w:before="0" w:after="283"/>
              <w:jc w:val="center"/>
              <w:rPr/>
            </w:pPr>
            <w:r>
              <w:rPr/>
              <w:t> </w:t>
            </w:r>
          </w:p>
        </w:tc>
        <w:tc>
          <w:tcPr>
            <w:tcW w:w="348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to the Company</w:t>
            </w:r>
          </w:p>
        </w:tc>
      </w:tr>
      <w:tr>
        <w:trPr/>
        <w:tc>
          <w:tcPr>
            <w:tcW w:w="66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Zhifeng 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Controlling shareholder and senior officer of the Company</w:t>
            </w:r>
          </w:p>
        </w:tc>
      </w:tr>
      <w:tr>
        <w:trPr/>
        <w:tc>
          <w:tcPr>
            <w:tcW w:w="66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Chongqing Yunzhimi Enterprise Management Partnership (Limited Partnership) (“Yunzhimi”)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4" w:type="dxa"/>
            <w:tcBorders/>
            <w:shd w:fill="FFFF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One of the Company’s principal shareholders</w:t>
            </w:r>
          </w:p>
        </w:tc>
      </w:tr>
      <w:tr>
        <w:trPr/>
        <w:tc>
          <w:tcPr>
            <w:tcW w:w="66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Chongqing Qianhong Fulong Technology Co., Ltd. (“Qianhong Fulong”)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of the Company’s principal shareholders</w:t>
            </w:r>
          </w:p>
        </w:tc>
      </w:tr>
      <w:tr>
        <w:trPr/>
        <w:tc>
          <w:tcPr>
            <w:tcW w:w="66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Qiang Zeng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4" w:type="dxa"/>
            <w:tcBorders/>
            <w:shd w:fill="FFFF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One of the Company’s principal shareholders</w:t>
            </w:r>
          </w:p>
        </w:tc>
      </w:tr>
      <w:tr>
        <w:trPr/>
        <w:tc>
          <w:tcPr>
            <w:tcW w:w="66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Changshu Xinwei (Chongqing) Technology Co., Ltd. (“Changshu Xinwei”)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4"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 equity investment entity of the Company</w:t>
            </w:r>
          </w:p>
        </w:tc>
      </w:tr>
      <w:tr>
        <w:trPr/>
        <w:tc>
          <w:tcPr>
            <w:tcW w:w="666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Chongqing Gongzhang Gongyao Commercial Management Partnership (Limited Partnership) (“Gongzhang Gongyao”)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of the Company’s principal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Due from related parties</w:t>
      </w:r>
    </w:p>
    <w:p>
      <w:pPr>
        <w:pStyle w:val="TextBody"/>
        <w:bidi w:val="0"/>
        <w:spacing w:before="0" w:after="0"/>
        <w:ind w:left="9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2810"/>
        <w:gridCol w:w="60"/>
        <w:gridCol w:w="60"/>
        <w:gridCol w:w="680"/>
        <w:gridCol w:w="60"/>
        <w:gridCol w:w="60"/>
        <w:gridCol w:w="60"/>
        <w:gridCol w:w="560"/>
        <w:gridCol w:w="75"/>
      </w:tblGrid>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pPr>
            <w:r>
              <w:rPr/>
              <w:t>Mr. Qiang Zeng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1,584</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both"/>
              <w:rPr/>
            </w:pPr>
            <w:r>
              <w:rPr/>
              <w:t>Mr. Zhifeng Li</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503</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both"/>
              <w:rPr/>
            </w:pPr>
            <w:r>
              <w:rPr/>
              <w:t>Total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14,594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2,087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advanced cash to the related parties and recorded such advances as due from related parties. The balance due from related parties is unsecured, interest-free and due upon demand. The Company did not settle the receivables with its related parties in the past due to the low collectability risk. However, the Company has requested repayment of the amount due from the related parties. Pursuant to the tri-party offset agreements described in Note 12, due from related parties was reduced by RMB15,649 through offset, resulting in a remaining balance of RMB14,594 as of December 31, 2025. As of the date of the unaudited combined financial statements, approximately 75.9%, or RMB11,077 of the December 31, 2025 outstanding balances have been subsequently collected. The remaining balances totaling approximately RMB3,517 are expected to be settled within one year. The Company does not have the intention to make cash advances to related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Due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157" w:type="dxa"/>
        <w:jc w:val="left"/>
        <w:tblInd w:w="0" w:type="dxa"/>
        <w:tblLayout w:type="fixed"/>
        <w:tblCellMar>
          <w:top w:w="0" w:type="dxa"/>
          <w:left w:w="0" w:type="dxa"/>
          <w:bottom w:w="0" w:type="dxa"/>
          <w:right w:w="0" w:type="dxa"/>
        </w:tblCellMar>
      </w:tblPr>
      <w:tblGrid>
        <w:gridCol w:w="2540"/>
        <w:gridCol w:w="60"/>
        <w:gridCol w:w="131"/>
        <w:gridCol w:w="574"/>
        <w:gridCol w:w="131"/>
        <w:gridCol w:w="131"/>
        <w:gridCol w:w="151"/>
        <w:gridCol w:w="364"/>
        <w:gridCol w:w="75"/>
      </w:tblGrid>
      <w:tr>
        <w:trPr/>
        <w:tc>
          <w:tcPr>
            <w:tcW w:w="2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center"/>
              <w:rPr>
                <w:b/>
              </w:rPr>
            </w:pPr>
            <w:r>
              <w:rPr>
                <w:b/>
              </w:rPr>
              <w:t>RMB</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both"/>
              <w:rPr/>
            </w:pPr>
            <w:r>
              <w:rPr/>
              <w:t>Qianhong Fulong</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46</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both"/>
              <w:rPr/>
            </w:pPr>
            <w:r>
              <w:rPr/>
              <w:t>Changshu Xinwei</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both"/>
              <w:rPr/>
            </w:pPr>
            <w:r>
              <w:rPr/>
              <w:t>Total due to related parties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right"/>
              <w:rPr/>
            </w:pPr>
            <w:r>
              <w:rPr/>
              <w:t>48</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64" w:type="dxa"/>
            <w:tcBorders>
              <w:bottom w:val="double" w:sz="10" w:space="0" w:color="000000"/>
            </w:tcBorders>
            <w:shd w:fill="CCEEFF" w:val="clear"/>
            <w:tcMar>
              <w:bottom w:w="28" w:type="dxa"/>
            </w:tcM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are inter-company fund transfers for working capital supplements with free interest which are unsecured, interest-free and repayable on demand. As of the date of the unaudited combined financial statements, all amounts due to related parties has subsequently been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Corporate income taxes (“CIT”)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Huazhi Future and its subsidiaries are incorporated in the PRC, and are subject to the PRC Enterprise Income Tax. Under the Enterprise Income Tax (“EIT”) Law of PRC, domestic enterprises and Foreign Investment Enterprises (“FIE”) are subject to a unified 25% enterprise income tax rate while preferential tax rates, tax holidays and tax exemptions may be granted on case-by-case basis. Huarong Future is subject to 25% income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 grants preferential tax treatment to High and New Technology Enterprises (“HNTEs”). Under this preferential tax treatment, HNTEs are entitled to an income tax rate of 15%, subject to a requirement that they re-apply for HNTE status every three years. Huazhi Future was approved as a HNTE and is entitled to a reduced income tax rate of 15% beginning November 2024, which are valid for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Huayuan Future, Huarong Future, Chongqing Fangzhen, Chongqing Xinzhichu and Hangzhou Infinite Firepower were recognized as small low-profit enterprises. According to the relevant PRC tax policies, once an enterprise meets certain requirements and is identified as a small-scale minimal profit enterprise, the portion of its taxable income not more than RMB3 million is subject to a reduced effective rate of 5% during the period from January 1, 2024 to December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recognized for temporary differences between the tax bases of assets and liabilities and their reported amounts in the unaudited combined financial statements, net operating loss carry forwards and credits. Deferred tax assets are reduced by a valuation allowance when, in the opinion of management, it is more likely than not that some portion or all of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received or settled. The effect on deferred tax assets and liabilities of changes in tax rates is recognized in the unaudited combined statements of operations and comprehensive loss in the year of the enactment of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Company’s experience with tax attributes expiring unused and tax planning alternatives. Valuation allowances have been established for deferred tax assets based on a more-likely-than-not threshold. The Company’s ability to realize deferred tax assets depends on its ability to generate sufficient taxable income within the carry forward periods provided for in the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the provision for income taxes computed by applying the PRC enterprise income rate of 25% to net loss before income taxes, and the actual provision for income taxes is as follows:</w:t>
      </w:r>
    </w:p>
    <w:p>
      <w:pPr>
        <w:pStyle w:val="TextBody"/>
        <w:bidi w:val="0"/>
        <w:spacing w:before="0" w:after="0"/>
        <w:ind w:left="0" w:right="0" w:hanging="0"/>
        <w:jc w:val="both"/>
        <w:rPr>
          <w:caps w:val="false"/>
          <w:smallCaps w:val="false"/>
        </w:rPr>
      </w:pPr>
      <w:r>
        <w:rPr>
          <w:caps w:val="false"/>
          <w:smallCaps w:val="false"/>
        </w:rPr>
        <w:t> </w:t>
      </w:r>
    </w:p>
    <w:tbl>
      <w:tblPr>
        <w:tblW w:w="8174" w:type="dxa"/>
        <w:jc w:val="left"/>
        <w:tblInd w:w="0" w:type="dxa"/>
        <w:tblLayout w:type="fixed"/>
        <w:tblCellMar>
          <w:top w:w="0" w:type="dxa"/>
          <w:left w:w="0" w:type="dxa"/>
          <w:bottom w:w="0" w:type="dxa"/>
          <w:right w:w="0" w:type="dxa"/>
        </w:tblCellMar>
      </w:tblPr>
      <w:tblGrid>
        <w:gridCol w:w="5975"/>
        <w:gridCol w:w="60"/>
        <w:gridCol w:w="139"/>
        <w:gridCol w:w="1770"/>
        <w:gridCol w:w="230"/>
      </w:tblGrid>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 Ended</w:t>
              <w:br/>
              <w:t>December 31,</w:t>
              <w:br/>
              <w:t>2025</w:t>
            </w:r>
          </w:p>
        </w:tc>
        <w:tc>
          <w:tcPr>
            <w:tcW w:w="23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b/>
              </w:rPr>
            </w:pPr>
            <w:r>
              <w:rPr>
                <w:b/>
              </w:rPr>
              <w:t>RMB</w:t>
            </w:r>
          </w:p>
        </w:tc>
        <w:tc>
          <w:tcPr>
            <w:tcW w:w="23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Loss from operations before income taxes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(14,775</w:t>
            </w:r>
          </w:p>
        </w:tc>
        <w:tc>
          <w:tcPr>
            <w:tcW w:w="23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PRC statutory tax rate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pPr>
            <w:r>
              <w:rPr/>
              <w:t>25</w:t>
            </w:r>
          </w:p>
        </w:tc>
        <w:tc>
          <w:tcPr>
            <w:tcW w:w="230" w:type="dxa"/>
            <w:tcBorders/>
            <w:shd w:fill="FFFFFF" w:val="clear"/>
            <w:vAlign w:val="center"/>
          </w:tcPr>
          <w:p>
            <w:pPr>
              <w:pStyle w:val="TableContents"/>
              <w:bidi w:val="0"/>
              <w:spacing w:before="0" w:after="283"/>
              <w:jc w:val="left"/>
              <w:rPr/>
            </w:pPr>
            <w:r>
              <w:rPr/>
              <w:t>%</w:t>
            </w:r>
          </w:p>
        </w:tc>
      </w:tr>
      <w:tr>
        <w:trPr/>
        <w:tc>
          <w:tcPr>
            <w:tcW w:w="5975" w:type="dxa"/>
            <w:tcBorders/>
            <w:shd w:fill="CCEEFF" w:val="clear"/>
            <w:vAlign w:val="center"/>
          </w:tcPr>
          <w:p>
            <w:pPr>
              <w:pStyle w:val="TableContents"/>
              <w:bidi w:val="0"/>
              <w:spacing w:before="0" w:after="283"/>
              <w:jc w:val="left"/>
              <w:rPr/>
            </w:pPr>
            <w:r>
              <w:rPr/>
              <w:t>Income tax at statutory tax rate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(3,694</w:t>
            </w:r>
          </w:p>
        </w:tc>
        <w:tc>
          <w:tcPr>
            <w:tcW w:w="230"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Effect of tax holiday and preferential tax rate</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pPr>
            <w:r>
              <w:rPr/>
              <w:t>2,542</w:t>
            </w:r>
          </w:p>
        </w:tc>
        <w:tc>
          <w:tcPr>
            <w:tcW w:w="23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507</w:t>
            </w:r>
          </w:p>
        </w:tc>
        <w:tc>
          <w:tcPr>
            <w:tcW w:w="23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Accelerated deductions on research and development expenses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pPr>
            <w:r>
              <w:rPr/>
              <w:t>(711</w:t>
            </w:r>
          </w:p>
        </w:tc>
        <w:tc>
          <w:tcPr>
            <w:tcW w:w="230" w:type="dxa"/>
            <w:tcBorders/>
            <w:shd w:fill="FFFFFF" w:val="clear"/>
            <w:vAlign w:val="center"/>
          </w:tcPr>
          <w:p>
            <w:pPr>
              <w:pStyle w:val="TableContents"/>
              <w:bidi w:val="0"/>
              <w:spacing w:before="0" w:after="283"/>
              <w:jc w:val="left"/>
              <w:rPr/>
            </w:pPr>
            <w:r>
              <w:rPr/>
              <w:t>)</w:t>
            </w:r>
          </w:p>
        </w:tc>
      </w:tr>
      <w:tr>
        <w:trPr/>
        <w:tc>
          <w:tcPr>
            <w:tcW w:w="597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70" w:type="dxa"/>
            <w:tcBorders>
              <w:bottom w:val="single" w:sz="12" w:space="0" w:color="000000"/>
            </w:tcBorders>
            <w:shd w:fill="CCEEFF" w:val="clear"/>
            <w:tcMar>
              <w:bottom w:w="28" w:type="dxa"/>
            </w:tcMar>
            <w:vAlign w:val="center"/>
          </w:tcPr>
          <w:p>
            <w:pPr>
              <w:pStyle w:val="TableContents"/>
              <w:bidi w:val="0"/>
              <w:spacing w:before="0" w:after="283"/>
              <w:jc w:val="right"/>
              <w:rPr/>
            </w:pPr>
            <w:r>
              <w:rPr/>
              <w:t>1,356</w:t>
            </w:r>
          </w:p>
        </w:tc>
        <w:tc>
          <w:tcPr>
            <w:tcW w:w="23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7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evaluates expiring statutes of limitations, audits, proposed settlements, changes in tax laws and new authoritative rulings. According to the PRC Tax Administration and Collection Law, the statute of limitations is three years if the underpayment of taxes is due to computational errors made by the taxpayer or withholding agent. The statute of limitations will be extended five years under special circumstances, which are not clearly defined (but an underpayment of tax liability exceeding RMB100 is specifically listed as a special circumstance). In the case of a related party transaction, the statute of limitations is ten years. There is no statute of limitations in the case of tax evasion.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Taxes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 of the following:</w:t>
      </w:r>
    </w:p>
    <w:p>
      <w:pPr>
        <w:pStyle w:val="TextBody"/>
        <w:bidi w:val="0"/>
        <w:spacing w:before="0" w:after="0"/>
        <w:ind w:left="0" w:right="0" w:hanging="0"/>
        <w:jc w:val="both"/>
        <w:rPr>
          <w:caps w:val="false"/>
          <w:smallCaps w:val="false"/>
        </w:rPr>
      </w:pPr>
      <w:r>
        <w:rPr>
          <w:caps w:val="false"/>
          <w:smallCaps w:val="false"/>
        </w:rPr>
        <w:t> </w:t>
      </w:r>
    </w:p>
    <w:tbl>
      <w:tblPr>
        <w:tblW w:w="3939" w:type="dxa"/>
        <w:jc w:val="left"/>
        <w:tblInd w:w="0" w:type="dxa"/>
        <w:tblLayout w:type="fixed"/>
        <w:tblCellMar>
          <w:top w:w="0" w:type="dxa"/>
          <w:left w:w="0" w:type="dxa"/>
          <w:bottom w:w="0" w:type="dxa"/>
          <w:right w:w="0" w:type="dxa"/>
        </w:tblCellMar>
      </w:tblPr>
      <w:tblGrid>
        <w:gridCol w:w="2390"/>
        <w:gridCol w:w="60"/>
        <w:gridCol w:w="192"/>
        <w:gridCol w:w="1222"/>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Value-added tax payable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808</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Other taxes payable</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Total taxes payable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987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conduct periodic and ad hoc tax filing reviews on business enterprises operating in the PRC after those enterprises complete their relevant tax filings. In general, the PRC tax authorities have up to five years to conduct examinations of the tax filings of the Company’s PRC entities. It is therefore uncertain as to whether the PRC tax authorities may take different views about the Company’s tax filings, which may lead to additional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measures the unrecognized benefits associated with the tax positions. As of December 31, 2025, the Company did not have any significant unrecognized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registered capital amounted to RMB11,374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statutory reserve may be applied against prior year losses, if any, and may be used for general business expansion and production or increase in registered capital, but is not distributable as cash dividends. As of December 31, 2025, the balance of statutory reserve was nil.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future minimum lease payments including the agreed property management fee under the non-cancellable operating lease with respect to the contractual obligations as of December 31, 2025 are payable as follows:</w:t>
      </w:r>
    </w:p>
    <w:p>
      <w:pPr>
        <w:pStyle w:val="TextBody"/>
        <w:bidi w:val="0"/>
        <w:spacing w:before="0" w:after="0"/>
        <w:ind w:left="0" w:right="0" w:hanging="0"/>
        <w:jc w:val="both"/>
        <w:rPr>
          <w:caps w:val="false"/>
          <w:smallCaps w:val="false"/>
        </w:rPr>
      </w:pPr>
      <w:r>
        <w:rPr>
          <w:caps w:val="false"/>
          <w:smallCaps w:val="false"/>
        </w:rPr>
        <w:t> </w:t>
      </w:r>
    </w:p>
    <w:tbl>
      <w:tblPr>
        <w:tblW w:w="3369" w:type="dxa"/>
        <w:jc w:val="left"/>
        <w:tblInd w:w="0" w:type="dxa"/>
        <w:tblLayout w:type="fixed"/>
        <w:tblCellMar>
          <w:top w:w="0" w:type="dxa"/>
          <w:left w:w="0" w:type="dxa"/>
          <w:bottom w:w="0" w:type="dxa"/>
          <w:right w:w="0" w:type="dxa"/>
        </w:tblCellMar>
      </w:tblPr>
      <w:tblGrid>
        <w:gridCol w:w="1820"/>
        <w:gridCol w:w="60"/>
        <w:gridCol w:w="192"/>
        <w:gridCol w:w="1222"/>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pPr>
            <w:r>
              <w:rPr/>
              <w:t>Lease commitment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both"/>
              <w:rPr/>
            </w:pPr>
            <w:r>
              <w:rPr/>
              <w:t>Within 1 year</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213</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both"/>
              <w:rPr/>
            </w:pPr>
            <w:r>
              <w:rPr/>
              <w:t>2-5 years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187</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double" w:sz="10" w:space="0" w:color="000000"/>
            </w:tcBorders>
            <w:shd w:fill="CCEEFF" w:val="clear"/>
            <w:tcMar>
              <w:bottom w:w="28" w:type="dxa"/>
            </w:tcM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actions arising in the ordinary course of business. The Company accrues costs associated with these matters when they become probable and the amount can be reasonably estimated. Legal costs incurred in connection with loss contingencies are expensed as incurred. The Company’s management does not expect any liability from the disposition of such claims and litigation individually or in the aggregate to have a material adverse impact on the Company’s combined financial position, results of operations and cash flows. The Company currently does not have any 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the Company that engages in business activities from which it may earn revenues and incur expenses, and is identified on the basis of the internal financial reports that are provided to and regularly reviewed by the Company’s chief operating decision maker in order to allocate resources and assess performance of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the business activities on a combined basis. The management of the Company concludes that it has only one operating and reportable segment. The Company generates revenue from five streams: 1) revenue from AI computing power service, 2) revenue from software system development, 3) revenue from sales of AI compute servers, 4) revenue from sales of other electronic products, and 5) revenue from other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 are the same as those described in Note 2 - Summary of Significant Accounting Policies. The Company’s CODM uses year-over-year fluctuations as the overall key performance indicator and budget-to-actual variances of these combined results to measure segment profit or loss and assesses performance against expectations to make resource allocation decisions. The primary measure used by the CODM to evaluate segment performance is combined revenue and combined net income. Additionally, the CODM reviews and uses functional expenses included in net income to manage the Company’s operations and assess operating profitability. The Company operates as one operating and reportable segment, and as such the significant segment expenses are consistent with those reported on the unaudited combined statements of operations and comprehensive loss, and include costs of revenue, selling expenses, general and administrative expenses, research and development expenses and net recovery of credit losses. Other segment items that are presented on the unaudited combined statements of operations and comprehensive loss include investment income on short-term investments and derivative financial assets, interest income, interest expenses, other expenses, net, and income tax expense. For significant segment expenses and other segment items incurred during the six months ended December 31, 2025, refer to the Unaudited Combined Statements of Operations and Comprehensive Loss. The Company’s entity-wide disclosures, including the disaggregation of revenues from contracts by product and service types, timing of revenue recognition and geographic areas are included in 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for the six months ended December 31, 2025:</w:t>
      </w:r>
    </w:p>
    <w:p>
      <w:pPr>
        <w:pStyle w:val="TextBody"/>
        <w:bidi w:val="0"/>
        <w:spacing w:before="0" w:after="0"/>
        <w:ind w:left="0" w:right="0" w:hanging="0"/>
        <w:jc w:val="both"/>
        <w:rPr>
          <w:caps w:val="false"/>
          <w:smallCaps w:val="false"/>
        </w:rPr>
      </w:pPr>
      <w:r>
        <w:rPr>
          <w:caps w:val="false"/>
          <w:smallCaps w:val="false"/>
        </w:rPr>
        <w:t> </w:t>
      </w:r>
    </w:p>
    <w:tbl>
      <w:tblPr>
        <w:tblW w:w="7451" w:type="dxa"/>
        <w:jc w:val="left"/>
        <w:tblInd w:w="0" w:type="dxa"/>
        <w:tblLayout w:type="fixed"/>
        <w:tblCellMar>
          <w:top w:w="0" w:type="dxa"/>
          <w:left w:w="0" w:type="dxa"/>
          <w:bottom w:w="0" w:type="dxa"/>
          <w:right w:w="0" w:type="dxa"/>
        </w:tblCellMar>
      </w:tblPr>
      <w:tblGrid>
        <w:gridCol w:w="5240"/>
        <w:gridCol w:w="60"/>
        <w:gridCol w:w="71"/>
        <w:gridCol w:w="902"/>
        <w:gridCol w:w="113"/>
        <w:gridCol w:w="71"/>
        <w:gridCol w:w="71"/>
        <w:gridCol w:w="813"/>
        <w:gridCol w:w="110"/>
      </w:tblGrid>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w:t>
              <w:br/>
              <w:t>December 31,</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73" w:type="dxa"/>
            <w:gridSpan w:val="2"/>
            <w:tcBorders/>
            <w:vAlign w:val="center"/>
          </w:tcPr>
          <w:p>
            <w:pPr>
              <w:pStyle w:val="TableContents"/>
              <w:bidi w:val="0"/>
              <w:spacing w:before="0" w:after="283"/>
              <w:jc w:val="center"/>
              <w:rPr>
                <w:b/>
              </w:rPr>
            </w:pPr>
            <w:r>
              <w:rPr>
                <w:b/>
              </w:rPr>
              <w:t>RMB</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8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86,039</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12,303</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both"/>
              <w:rPr/>
            </w:pPr>
            <w:r>
              <w:rPr/>
              <w:t>purchase cost-cost of revenue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(66,697</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(9,538</w:t>
            </w:r>
          </w:p>
        </w:tc>
        <w:tc>
          <w:tcPr>
            <w:tcW w:w="110" w:type="dxa"/>
            <w:tcBorders/>
            <w:shd w:fill="FFFFFF" w:val="clear"/>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both"/>
              <w:rPr/>
            </w:pPr>
            <w:r>
              <w:rPr/>
              <w:t>Staff cost - cost of revenue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(782</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Tax and surcharge - cost of revenue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(153</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both"/>
              <w:rPr/>
            </w:pPr>
            <w:r>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(3,692</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(528</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Net recovery of credit losses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415</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59</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(15,484</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(2,214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Staff cost - 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(3,001</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(429</w:t>
            </w:r>
          </w:p>
        </w:tc>
        <w:tc>
          <w:tcPr>
            <w:tcW w:w="110" w:type="dxa"/>
            <w:tcBorders/>
            <w:shd w:fill="FFFFFF" w:val="clear"/>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both"/>
              <w:rPr/>
            </w:pPr>
            <w:r>
              <w:rPr/>
              <w:t>Professional service fee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(1,898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(271</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Promotion and advertising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(6,177</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(883</w:t>
            </w:r>
          </w:p>
        </w:tc>
        <w:tc>
          <w:tcPr>
            <w:tcW w:w="110" w:type="dxa"/>
            <w:tcBorders/>
            <w:shd w:fill="FFFFFF" w:val="clear"/>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both"/>
              <w:rPr/>
            </w:pPr>
            <w:r>
              <w:rPr/>
              <w:t>Rental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(1,078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Entertainment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(640</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(92</w:t>
            </w:r>
          </w:p>
        </w:tc>
        <w:tc>
          <w:tcPr>
            <w:tcW w:w="110" w:type="dxa"/>
            <w:tcBorders/>
            <w:shd w:fill="FFFFFF" w:val="clear"/>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both"/>
              <w:rPr/>
            </w:pPr>
            <w:r>
              <w:rPr/>
              <w:t>Travelling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(715</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(102</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Investment income from short-term investments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758</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Investment income from derivative financial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145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both"/>
              <w:rPr/>
            </w:pPr>
            <w:r>
              <w:rPr/>
              <w:t>Other segment items*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(1,377</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both"/>
              <w:rPr/>
            </w:pPr>
            <w:r>
              <w:rPr/>
              <w:t>Other loss, net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(438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both"/>
              <w:rPr/>
            </w:pPr>
            <w:r>
              <w:rPr/>
              <w:t>Segment net loss</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pPr>
            <w:r>
              <w:rPr/>
              <w:t>(14,775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pPr>
            <w:r>
              <w:rPr/>
              <w:t>(2,113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items included motor vehicle expenses, maintenance and repair expenses, insurance, property management fees, office expenses, depreciation charges and other miscellaneous expenses for administrative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bank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entered into a loan agreement with Agricultural Bank of China to borrow RMB 8,000 as working capital for one year, with a maturity date of March 15, 2027. The loan bears a fixed interest rate of 3.0% per annum. The loan is guaranteed by Mr. Zhifeng 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entered into a loan agreement with Postal Savings Bank of China Limited to borrow RMB 3,000 as working capital for one year, with a maturity date of June 1, 2027. The loan bears a fixed interest rate of 3.51% per annum. The loan is guaranteed by Mr. Zhifeng 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the Company entered into a loan agreement with Shanghai Pudong Development Bank Limited to borrow RMB 4,750 as working capital for one year, with a maturity date of June 25, 2027. The loan bears a fixed interest rate of 3.0% per annum. The loan is guaranteed by Mr. Zhifeng 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third-party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Huarong Future entered into a fund financing cooperation agreement with a third party, Haokai. Under the agreement, Huarong Future was granted a revolving credit facility with a maximum aggregate financing limit of RMB500,000, valid from March 1, 2026 to February 29, 2028. The credit limit is revolving in nature, and the available limit will be automatically reinstated upon full repayment of the outstanding principal and accrued interest. The borrowing bears a fixed interest rate of 8.5% per annum. Huarong Future may prepay part or all of the principal at any time without any prepayment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Maase Inc., an exempted company incorporated in the Cayman Islands (“MAAS”) entered into a transaction agreement (the “Transaction Agreement”) with the Company to acquire 100% of the equity interests of the Company. The total transaction consideration was approximately RMB1.1 billion, consisting of (i) an aggregate 87,400,144 Class A ordinary shares of MAAS with a par value of US$0.09 per share, and (ii) a cash payment of US$26,000, payable within 365 days after the closing of the transaction contemplated under the Transaction Agreement. The acquisition was completed on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Huarong Future, Huazhi Future, Zhihuitong, Haokai, Xinyuan, Qianhong Fulong, Yunzhimi, Gongzhang Gongyao and other third-party entities entered into a series of debt offsetting, debt assignment and debt-to-equity agreements to restructure mutual creditors’ rights and liabilities, with detailed arrangements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On March 31, 2026, Huarong Future entered into tri-party debt offsetting agreements with Zhihuitong and other third parties, pursuant to which Huarong Future assigned its third-party accounts receivable of RMB75,555 to Zhihuitong;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283"/>
              <w:jc w:val="both"/>
              <w:rPr/>
            </w:pPr>
            <w:r>
              <w:rPr/>
              <w:t>On the same date, Huarong Future, together with Zhihuitong, Xinyuan and Haokai signed debt assignment agreements. Pursuant to such agreements, Huarong Future transferred its payables of RMB33,918, RMB270,441 and RMB60,635 owed to Zhihuitong, Xinyuan and Haokai, respectively, to Huazhi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both"/>
              <w:rPr/>
            </w:pPr>
            <w:r>
              <w:rPr/>
              <w:t>Separately, Huazhi Future entered into tri-party debt offsetting agreements with Xinyuan and other third parties, pursuant to which Huazhi Future assigned its third-party accounts receivable of RMB196,636 to Xinyuan.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283"/>
              <w:jc w:val="both"/>
              <w:rPr/>
            </w:pPr>
            <w:r>
              <w:rPr/>
              <w:t>Meanwhile, Zhihuitong, Xinyuan and Haokai entered into debt transfer agreements with Huazhi Future and Qianhong Fulong, Yunzhimi and Gongzhang Gongyao. Pursuant to the agreements, the above three creditors transferred their total creditor’s rights against Huazhi Future to Qianhong Fulong, Gongzhang Gongyao and Yunzhimi, with the assigned claim amounts of RMB111,116, RMB31,988, and RMB25,254,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283"/>
              <w:jc w:val="both"/>
              <w:rPr/>
            </w:pPr>
            <w:r>
              <w:rPr/>
              <w:t>On March 31, 2026, Huazhi Future entered into debt-to-equity and capital reserve contribution agreements with Qianhong Fulong, Yunzhimi and Gongzhang Gongyao respectively. All outstanding claims held by the three parties against Huazhi Future were converted into Huazhi Future’s share capital and capital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debt-to-equity conversion and capital reserve recognition are set forth in the table as follows:</w:t>
      </w:r>
    </w:p>
    <w:p>
      <w:pPr>
        <w:pStyle w:val="TextBody"/>
        <w:bidi w:val="0"/>
        <w:spacing w:before="0" w:after="0"/>
        <w:ind w:left="0" w:right="0" w:hanging="0"/>
        <w:jc w:val="both"/>
        <w:rPr>
          <w:caps w:val="false"/>
          <w:smallCaps w:val="false"/>
        </w:rPr>
      </w:pPr>
      <w:r>
        <w:rPr>
          <w:caps w:val="false"/>
          <w:smallCaps w:val="false"/>
        </w:rPr>
        <w:t> </w:t>
      </w:r>
    </w:p>
    <w:tbl>
      <w:tblPr>
        <w:tblW w:w="7052" w:type="dxa"/>
        <w:jc w:val="left"/>
        <w:tblInd w:w="0" w:type="dxa"/>
        <w:tblLayout w:type="fixed"/>
        <w:tblCellMar>
          <w:top w:w="0" w:type="dxa"/>
          <w:left w:w="0" w:type="dxa"/>
          <w:bottom w:w="28" w:type="dxa"/>
          <w:right w:w="0" w:type="dxa"/>
        </w:tblCellMar>
      </w:tblPr>
      <w:tblGrid>
        <w:gridCol w:w="2240"/>
        <w:gridCol w:w="60"/>
        <w:gridCol w:w="96"/>
        <w:gridCol w:w="1288"/>
        <w:gridCol w:w="60"/>
        <w:gridCol w:w="60"/>
        <w:gridCol w:w="114"/>
        <w:gridCol w:w="1300"/>
        <w:gridCol w:w="60"/>
        <w:gridCol w:w="60"/>
        <w:gridCol w:w="132"/>
        <w:gridCol w:w="1507"/>
        <w:gridCol w:w="75"/>
      </w:tblGrid>
      <w:tr>
        <w:trPr/>
        <w:tc>
          <w:tcPr>
            <w:tcW w:w="2240" w:type="dxa"/>
            <w:tcBorders>
              <w:bottom w:val="single" w:sz="12" w:space="0" w:color="000000"/>
            </w:tcBorders>
            <w:vAlign w:val="center"/>
          </w:tcPr>
          <w:p>
            <w:pPr>
              <w:pStyle w:val="TableContents"/>
              <w:bidi w:val="0"/>
              <w:spacing w:before="0" w:after="283"/>
              <w:jc w:val="left"/>
              <w:rPr>
                <w:b/>
              </w:rPr>
            </w:pPr>
            <w:r>
              <w:rPr>
                <w:b/>
              </w:rPr>
              <w:t>Creditor/Shareholder</w:t>
            </w:r>
          </w:p>
        </w:tc>
        <w:tc>
          <w:tcPr>
            <w:tcW w:w="60" w:type="dxa"/>
            <w:tcBorders/>
            <w:tcMar>
              <w:bottom w:w="0" w:type="dxa"/>
            </w:tcMar>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center"/>
              <w:rPr>
                <w:b/>
              </w:rPr>
            </w:pPr>
            <w:r>
              <w:rPr>
                <w:b/>
              </w:rPr>
              <w:t>Total Claim</w:t>
              <w:br/>
              <w:t>Amount</w:t>
              <w:br/>
              <w:t>Transferred /</w:t>
              <w:br/>
              <w:t>Converted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Amount</w:t>
              <w:br/>
              <w:t xml:space="preserve">Converted to </w:t>
              <w:br/>
              <w:t>Share</w:t>
              <w:b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12" w:space="0" w:color="000000"/>
            </w:tcBorders>
            <w:vAlign w:val="center"/>
          </w:tcPr>
          <w:p>
            <w:pPr>
              <w:pStyle w:val="TableContents"/>
              <w:bidi w:val="0"/>
              <w:spacing w:before="0" w:after="283"/>
              <w:jc w:val="center"/>
              <w:rPr>
                <w:b/>
              </w:rPr>
            </w:pPr>
            <w:r>
              <w:rPr>
                <w:b/>
              </w:rPr>
              <w:t>Amount</w:t>
              <w:br/>
              <w:t>Converted to</w:t>
              <w:br/>
              <w:t>Capital Reserve</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4"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Qianhong Fulong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111,116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58,080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507" w:type="dxa"/>
            <w:tcBorders/>
            <w:shd w:fill="CCEEFF" w:val="clear"/>
            <w:tcMar>
              <w:bottom w:w="0" w:type="dxa"/>
            </w:tcMar>
            <w:vAlign w:val="center"/>
          </w:tcPr>
          <w:p>
            <w:pPr>
              <w:pStyle w:val="TableContents"/>
              <w:bidi w:val="0"/>
              <w:spacing w:before="0" w:after="283"/>
              <w:jc w:val="right"/>
              <w:rPr/>
            </w:pPr>
            <w:r>
              <w:rPr/>
              <w:t>53,036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Gongzhang Gongyao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pPr>
            <w:r>
              <w:rPr/>
              <w:t>31,988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pPr>
            <w:r>
              <w:rPr/>
              <w:t>16,720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507" w:type="dxa"/>
            <w:tcBorders/>
            <w:shd w:fill="FFFFFF" w:val="clear"/>
            <w:tcMar>
              <w:bottom w:w="0" w:type="dxa"/>
            </w:tcMar>
            <w:vAlign w:val="center"/>
          </w:tcPr>
          <w:p>
            <w:pPr>
              <w:pStyle w:val="TableContents"/>
              <w:bidi w:val="0"/>
              <w:spacing w:before="0" w:after="283"/>
              <w:jc w:val="right"/>
              <w:rPr/>
            </w:pPr>
            <w:r>
              <w:rPr/>
              <w:t>15,268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Yunzhimi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1288" w:type="dxa"/>
            <w:tcBorders>
              <w:bottom w:val="single" w:sz="12" w:space="0" w:color="000000"/>
            </w:tcBorders>
            <w:shd w:fill="CCEEFF" w:val="clear"/>
            <w:vAlign w:val="center"/>
          </w:tcPr>
          <w:p>
            <w:pPr>
              <w:pStyle w:val="TableContents"/>
              <w:bidi w:val="0"/>
              <w:spacing w:before="0" w:after="283"/>
              <w:jc w:val="right"/>
              <w:rPr/>
            </w:pPr>
            <w:r>
              <w:rPr/>
              <w:t>25,254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300" w:type="dxa"/>
            <w:tcBorders>
              <w:bottom w:val="single" w:sz="12" w:space="0" w:color="000000"/>
            </w:tcBorders>
            <w:shd w:fill="CCEEFF" w:val="clear"/>
            <w:vAlign w:val="center"/>
          </w:tcPr>
          <w:p>
            <w:pPr>
              <w:pStyle w:val="TableContents"/>
              <w:bidi w:val="0"/>
              <w:spacing w:before="0" w:after="283"/>
              <w:jc w:val="right"/>
              <w:rPr/>
            </w:pPr>
            <w:r>
              <w:rPr/>
              <w:t>13,200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bottom w:val="single" w:sz="12" w:space="0" w:color="000000"/>
            </w:tcBorders>
            <w:shd w:fill="CCEEFF" w:val="clear"/>
            <w:vAlign w:val="center"/>
          </w:tcPr>
          <w:p>
            <w:pPr>
              <w:pStyle w:val="TableContents"/>
              <w:bidi w:val="0"/>
              <w:spacing w:before="0" w:after="283"/>
              <w:jc w:val="left"/>
              <w:rPr/>
            </w:pPr>
            <w:r>
              <w:rPr/>
              <w:t> </w:t>
            </w:r>
          </w:p>
        </w:tc>
        <w:tc>
          <w:tcPr>
            <w:tcW w:w="1507" w:type="dxa"/>
            <w:tcBorders>
              <w:bottom w:val="single" w:sz="12" w:space="0" w:color="000000"/>
            </w:tcBorders>
            <w:shd w:fill="CCEEFF" w:val="clear"/>
            <w:vAlign w:val="center"/>
          </w:tcPr>
          <w:p>
            <w:pPr>
              <w:pStyle w:val="TableContents"/>
              <w:bidi w:val="0"/>
              <w:spacing w:before="0" w:after="283"/>
              <w:jc w:val="right"/>
              <w:rPr/>
            </w:pPr>
            <w:r>
              <w:rPr/>
              <w:t>12,054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double" w:sz="10" w:space="0" w:color="000000"/>
            </w:tcBorders>
            <w:shd w:fill="FFFFFF" w:val="clear"/>
            <w:vAlign w:val="center"/>
          </w:tcPr>
          <w:p>
            <w:pPr>
              <w:pStyle w:val="TableContents"/>
              <w:bidi w:val="0"/>
              <w:spacing w:before="0" w:after="283"/>
              <w:jc w:val="left"/>
              <w:rPr/>
            </w:pPr>
            <w:r>
              <w:rPr/>
              <w:t> </w:t>
            </w:r>
          </w:p>
        </w:tc>
        <w:tc>
          <w:tcPr>
            <w:tcW w:w="1288" w:type="dxa"/>
            <w:tcBorders>
              <w:bottom w:val="double" w:sz="10" w:space="0" w:color="000000"/>
            </w:tcBorders>
            <w:shd w:fill="FFFFFF" w:val="clear"/>
            <w:vAlign w:val="center"/>
          </w:tcPr>
          <w:p>
            <w:pPr>
              <w:pStyle w:val="TableContents"/>
              <w:bidi w:val="0"/>
              <w:spacing w:before="0" w:after="283"/>
              <w:jc w:val="right"/>
              <w:rPr/>
            </w:pPr>
            <w:r>
              <w:rPr/>
              <w:t>168,358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double" w:sz="10" w:space="0" w:color="000000"/>
            </w:tcBorders>
            <w:shd w:fill="FFFFFF" w:val="clear"/>
            <w:vAlign w:val="center"/>
          </w:tcPr>
          <w:p>
            <w:pPr>
              <w:pStyle w:val="TableContents"/>
              <w:bidi w:val="0"/>
              <w:spacing w:before="0" w:after="283"/>
              <w:jc w:val="left"/>
              <w:rPr/>
            </w:pPr>
            <w:r>
              <w:rPr/>
              <w:t> </w:t>
            </w:r>
          </w:p>
        </w:tc>
        <w:tc>
          <w:tcPr>
            <w:tcW w:w="1300" w:type="dxa"/>
            <w:tcBorders>
              <w:bottom w:val="double" w:sz="10" w:space="0" w:color="000000"/>
            </w:tcBorders>
            <w:shd w:fill="FFFFFF" w:val="clear"/>
            <w:vAlign w:val="center"/>
          </w:tcPr>
          <w:p>
            <w:pPr>
              <w:pStyle w:val="TableContents"/>
              <w:bidi w:val="0"/>
              <w:spacing w:before="0" w:after="283"/>
              <w:jc w:val="right"/>
              <w:rPr/>
            </w:pPr>
            <w:r>
              <w:rPr/>
              <w:t>88,000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bottom w:val="double" w:sz="10" w:space="0" w:color="000000"/>
            </w:tcBorders>
            <w:shd w:fill="FFFFFF" w:val="clear"/>
            <w:vAlign w:val="center"/>
          </w:tcPr>
          <w:p>
            <w:pPr>
              <w:pStyle w:val="TableContents"/>
              <w:bidi w:val="0"/>
              <w:spacing w:before="0" w:after="283"/>
              <w:jc w:val="left"/>
              <w:rPr/>
            </w:pPr>
            <w:r>
              <w:rPr/>
              <w:t> </w:t>
            </w:r>
          </w:p>
        </w:tc>
        <w:tc>
          <w:tcPr>
            <w:tcW w:w="1507" w:type="dxa"/>
            <w:tcBorders>
              <w:bottom w:val="double" w:sz="10" w:space="0" w:color="000000"/>
            </w:tcBorders>
            <w:shd w:fill="FFFFFF" w:val="clear"/>
            <w:vAlign w:val="center"/>
          </w:tcPr>
          <w:p>
            <w:pPr>
              <w:pStyle w:val="TableContents"/>
              <w:bidi w:val="0"/>
              <w:spacing w:before="0" w:after="283"/>
              <w:jc w:val="right"/>
              <w:rPr/>
            </w:pPr>
            <w:r>
              <w:rPr/>
              <w:t>80,358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all of the above-mentioned offsetting, debt transfer, and debt-to-equity arrangements, the outstanding payable balances from Huazhi Future to Zhihuitong, Xinyuan and Haokai were reduced to zero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subsequent events through August 5, 2026, which is the date of the issuance of these unaudited combined financial statements, and concluded that there are no additional subsequent events except those disclosed above that would have required an adjustment or disclosure in the unaudited combined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64/000121390024021240/ea0201111-s8_puyiinc.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16638</Words>
  <Characters>93309</Characters>
  <CharactersWithSpaces>110936</CharactersWithSpaces>
  <Paragraphs>3642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